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6158" w14:textId="77777777" w:rsidR="00D94E4F" w:rsidRDefault="00D94E4F">
      <w:pPr>
        <w:jc w:val="center"/>
        <w:rPr>
          <w:rFonts w:ascii="宋体" w:eastAsia="宋体" w:hAnsi="宋体" w:hint="eastAsia"/>
          <w:sz w:val="32"/>
          <w:szCs w:val="32"/>
        </w:rPr>
      </w:pPr>
    </w:p>
    <w:p w14:paraId="1A42A071" w14:textId="77777777" w:rsidR="00D94E4F" w:rsidRDefault="00000000">
      <w:pPr>
        <w:jc w:val="center"/>
        <w:rPr>
          <w:rFonts w:ascii="宋体" w:eastAsia="宋体" w:hAnsi="宋体" w:hint="eastAsia"/>
          <w:sz w:val="32"/>
          <w:szCs w:val="32"/>
        </w:rPr>
      </w:pPr>
      <w:r>
        <w:rPr>
          <w:rFonts w:ascii="宋体" w:eastAsia="宋体" w:hAnsi="宋体" w:hint="eastAsia"/>
          <w:sz w:val="32"/>
          <w:szCs w:val="32"/>
        </w:rPr>
        <w:t>仪器设备购置技术参数要求确认单</w:t>
      </w:r>
    </w:p>
    <w:tbl>
      <w:tblPr>
        <w:tblStyle w:val="a7"/>
        <w:tblW w:w="8296" w:type="dxa"/>
        <w:tblLayout w:type="fixed"/>
        <w:tblLook w:val="04A0" w:firstRow="1" w:lastRow="0" w:firstColumn="1" w:lastColumn="0" w:noHBand="0" w:noVBand="1"/>
      </w:tblPr>
      <w:tblGrid>
        <w:gridCol w:w="1980"/>
        <w:gridCol w:w="850"/>
        <w:gridCol w:w="1560"/>
        <w:gridCol w:w="1701"/>
        <w:gridCol w:w="2205"/>
      </w:tblGrid>
      <w:tr w:rsidR="00D94E4F" w14:paraId="460649B1" w14:textId="77777777">
        <w:tc>
          <w:tcPr>
            <w:tcW w:w="8296" w:type="dxa"/>
            <w:gridSpan w:val="5"/>
          </w:tcPr>
          <w:p w14:paraId="0B76705D" w14:textId="005AE5B4" w:rsidR="00D94E4F" w:rsidRDefault="00000000">
            <w:pPr>
              <w:rPr>
                <w:rFonts w:ascii="宋体" w:eastAsia="宋体" w:hAnsi="宋体" w:hint="eastAsia"/>
                <w:sz w:val="28"/>
                <w:szCs w:val="28"/>
              </w:rPr>
            </w:pPr>
            <w:r>
              <w:rPr>
                <w:rFonts w:ascii="宋体" w:eastAsia="宋体" w:hAnsi="宋体" w:hint="eastAsia"/>
                <w:sz w:val="28"/>
                <w:szCs w:val="28"/>
              </w:rPr>
              <w:t>产品名称 ：</w:t>
            </w:r>
            <w:r w:rsidR="009850BC" w:rsidRPr="009850BC">
              <w:rPr>
                <w:rFonts w:ascii="仿宋_GB2312" w:eastAsia="仿宋_GB2312" w:hint="eastAsia"/>
                <w:sz w:val="28"/>
                <w:szCs w:val="28"/>
              </w:rPr>
              <w:t>智能多联式色谱数据工作站</w:t>
            </w:r>
          </w:p>
        </w:tc>
      </w:tr>
      <w:tr w:rsidR="00D94E4F" w14:paraId="70AC08D1" w14:textId="77777777">
        <w:tc>
          <w:tcPr>
            <w:tcW w:w="1980" w:type="dxa"/>
          </w:tcPr>
          <w:p w14:paraId="6BD78EA1" w14:textId="77777777" w:rsidR="00D94E4F" w:rsidRDefault="00000000">
            <w:pPr>
              <w:rPr>
                <w:rFonts w:ascii="宋体" w:eastAsia="宋体" w:hAnsi="宋体" w:hint="eastAsia"/>
                <w:sz w:val="28"/>
                <w:szCs w:val="28"/>
              </w:rPr>
            </w:pPr>
            <w:r>
              <w:rPr>
                <w:rFonts w:ascii="宋体" w:eastAsia="宋体" w:hAnsi="宋体" w:hint="eastAsia"/>
                <w:sz w:val="28"/>
                <w:szCs w:val="28"/>
              </w:rPr>
              <w:t>联系人</w:t>
            </w:r>
          </w:p>
        </w:tc>
        <w:tc>
          <w:tcPr>
            <w:tcW w:w="2410" w:type="dxa"/>
            <w:gridSpan w:val="2"/>
          </w:tcPr>
          <w:p w14:paraId="51A83CEF" w14:textId="6CD4C869" w:rsidR="00D94E4F" w:rsidRDefault="009850BC">
            <w:pPr>
              <w:rPr>
                <w:rFonts w:ascii="宋体" w:eastAsia="宋体" w:hAnsi="宋体" w:hint="eastAsia"/>
                <w:sz w:val="28"/>
                <w:szCs w:val="28"/>
              </w:rPr>
            </w:pPr>
            <w:r>
              <w:rPr>
                <w:rFonts w:ascii="宋体" w:eastAsia="宋体" w:hAnsi="宋体" w:hint="eastAsia"/>
                <w:sz w:val="28"/>
                <w:szCs w:val="28"/>
              </w:rPr>
              <w:t>丁</w:t>
            </w:r>
            <w:r w:rsidR="00000000">
              <w:rPr>
                <w:rFonts w:ascii="宋体" w:eastAsia="宋体" w:hAnsi="宋体" w:hint="eastAsia"/>
                <w:sz w:val="28"/>
                <w:szCs w:val="28"/>
              </w:rPr>
              <w:t>老师</w:t>
            </w:r>
          </w:p>
        </w:tc>
        <w:tc>
          <w:tcPr>
            <w:tcW w:w="1701" w:type="dxa"/>
          </w:tcPr>
          <w:p w14:paraId="2C9DF92C" w14:textId="77777777" w:rsidR="00D94E4F" w:rsidRDefault="00000000">
            <w:pPr>
              <w:rPr>
                <w:rFonts w:ascii="宋体" w:eastAsia="宋体" w:hAnsi="宋体" w:hint="eastAsia"/>
                <w:sz w:val="28"/>
                <w:szCs w:val="28"/>
              </w:rPr>
            </w:pPr>
            <w:r>
              <w:rPr>
                <w:rFonts w:ascii="宋体" w:eastAsia="宋体" w:hAnsi="宋体" w:hint="eastAsia"/>
                <w:sz w:val="28"/>
                <w:szCs w:val="28"/>
              </w:rPr>
              <w:t>联系电话</w:t>
            </w:r>
          </w:p>
        </w:tc>
        <w:tc>
          <w:tcPr>
            <w:tcW w:w="2205" w:type="dxa"/>
          </w:tcPr>
          <w:p w14:paraId="284D1EE1" w14:textId="284972A0" w:rsidR="00D94E4F" w:rsidRDefault="009850BC">
            <w:pPr>
              <w:rPr>
                <w:rFonts w:ascii="宋体" w:eastAsia="宋体" w:hAnsi="宋体" w:hint="eastAsia"/>
                <w:sz w:val="28"/>
                <w:szCs w:val="28"/>
              </w:rPr>
            </w:pPr>
            <w:r>
              <w:rPr>
                <w:rFonts w:ascii="宋体" w:eastAsia="宋体" w:hAnsi="宋体" w:hint="eastAsia"/>
                <w:sz w:val="28"/>
                <w:szCs w:val="28"/>
              </w:rPr>
              <w:t>15951896471</w:t>
            </w:r>
          </w:p>
        </w:tc>
      </w:tr>
      <w:tr w:rsidR="00D94E4F" w14:paraId="614A60F6" w14:textId="77777777">
        <w:tc>
          <w:tcPr>
            <w:tcW w:w="2830" w:type="dxa"/>
            <w:gridSpan w:val="2"/>
          </w:tcPr>
          <w:p w14:paraId="7341430F" w14:textId="77777777" w:rsidR="00D94E4F" w:rsidRDefault="00000000">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558F8565" w14:textId="5AFE8AA8" w:rsidR="00D94E4F" w:rsidRDefault="009850BC">
            <w:pPr>
              <w:rPr>
                <w:rFonts w:ascii="宋体" w:eastAsia="宋体" w:hAnsi="宋体" w:hint="eastAsia"/>
                <w:sz w:val="28"/>
                <w:szCs w:val="28"/>
              </w:rPr>
            </w:pPr>
            <w:r>
              <w:rPr>
                <w:rFonts w:ascii="宋体" w:eastAsia="宋体" w:hAnsi="宋体" w:hint="eastAsia"/>
                <w:sz w:val="28"/>
                <w:szCs w:val="28"/>
              </w:rPr>
              <w:t>19.5</w:t>
            </w:r>
            <w:r w:rsidR="00000000">
              <w:rPr>
                <w:rFonts w:ascii="宋体" w:eastAsia="宋体" w:hAnsi="宋体" w:hint="eastAsia"/>
                <w:sz w:val="28"/>
                <w:szCs w:val="28"/>
              </w:rPr>
              <w:t>万元</w:t>
            </w:r>
          </w:p>
        </w:tc>
      </w:tr>
      <w:tr w:rsidR="00D94E4F" w14:paraId="7054CF02" w14:textId="77777777">
        <w:trPr>
          <w:trHeight w:val="1301"/>
        </w:trPr>
        <w:tc>
          <w:tcPr>
            <w:tcW w:w="8296" w:type="dxa"/>
            <w:gridSpan w:val="5"/>
          </w:tcPr>
          <w:p w14:paraId="1ACF534E" w14:textId="6ABBA20E" w:rsidR="00D94E4F" w:rsidRDefault="00000000">
            <w:pPr>
              <w:spacing w:line="440" w:lineRule="exact"/>
              <w:rPr>
                <w:rFonts w:ascii="宋体" w:eastAsia="宋体" w:hAnsi="宋体" w:hint="eastAsia"/>
                <w:sz w:val="28"/>
                <w:szCs w:val="28"/>
              </w:rPr>
            </w:pPr>
            <w:r>
              <w:rPr>
                <w:rFonts w:ascii="宋体" w:eastAsia="宋体" w:hAnsi="宋体" w:hint="eastAsia"/>
              </w:rPr>
              <w:t>主要用途描述：</w:t>
            </w:r>
            <w:r w:rsidR="009850BC" w:rsidRPr="009850BC">
              <w:rPr>
                <w:rFonts w:ascii="宋体" w:eastAsia="宋体" w:hAnsi="宋体" w:hint="eastAsia"/>
              </w:rPr>
              <w:t>智能多联式色谱数据工作站</w:t>
            </w:r>
            <w:r w:rsidR="009850BC">
              <w:rPr>
                <w:rFonts w:ascii="宋体" w:eastAsia="宋体" w:hAnsi="宋体" w:hint="eastAsia"/>
              </w:rPr>
              <w:t>用于控制多台高效液相色谱仪</w:t>
            </w:r>
            <w:r>
              <w:rPr>
                <w:rFonts w:ascii="宋体" w:eastAsia="宋体" w:hAnsi="宋体" w:hint="eastAsia"/>
              </w:rPr>
              <w:t>，是中药制药过程和</w:t>
            </w:r>
            <w:r w:rsidR="009850BC">
              <w:rPr>
                <w:rFonts w:ascii="宋体" w:eastAsia="宋体" w:hAnsi="宋体" w:hint="eastAsia"/>
              </w:rPr>
              <w:t>新药研发</w:t>
            </w:r>
            <w:r>
              <w:rPr>
                <w:rFonts w:ascii="宋体" w:eastAsia="宋体" w:hAnsi="宋体" w:hint="eastAsia"/>
              </w:rPr>
              <w:t>中必备的仪器。</w:t>
            </w:r>
          </w:p>
        </w:tc>
      </w:tr>
      <w:tr w:rsidR="00D94E4F" w14:paraId="29F99861" w14:textId="77777777">
        <w:trPr>
          <w:trHeight w:val="7141"/>
        </w:trPr>
        <w:tc>
          <w:tcPr>
            <w:tcW w:w="8296" w:type="dxa"/>
            <w:gridSpan w:val="5"/>
          </w:tcPr>
          <w:p w14:paraId="17A58F3C" w14:textId="77777777" w:rsidR="00D94E4F" w:rsidRDefault="00000000">
            <w:pPr>
              <w:pStyle w:val="a8"/>
              <w:rPr>
                <w:rFonts w:ascii="宋体" w:eastAsia="宋体" w:hAnsi="宋体" w:cstheme="minorBidi" w:hint="eastAsia"/>
                <w:bCs w:val="0"/>
                <w:spacing w:val="0"/>
                <w:kern w:val="2"/>
                <w:sz w:val="21"/>
                <w:szCs w:val="22"/>
              </w:rPr>
            </w:pPr>
            <w:r>
              <w:rPr>
                <w:rFonts w:ascii="宋体" w:eastAsia="宋体" w:hAnsi="宋体" w:cstheme="minorBidi" w:hint="eastAsia"/>
                <w:bCs w:val="0"/>
                <w:spacing w:val="0"/>
                <w:kern w:val="2"/>
                <w:sz w:val="21"/>
                <w:szCs w:val="22"/>
              </w:rPr>
              <w:t>参数要求：</w:t>
            </w:r>
          </w:p>
          <w:p w14:paraId="1DCAAD41" w14:textId="186023DB"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1.在最新Windows 64位专业版操作系统下编写和测试，原版具有中英文双语可选。</w:t>
            </w:r>
          </w:p>
          <w:p w14:paraId="0365667E"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2.为了保证数据库的长期可靠性，色谱数据系统采用完整Oracle数据库架构。为了保证数据库系统的标准化可靠性，Oracle数据库必须和应用程序安装时自动安装。为了保证数据库的后期维护，数据库不得单独收费。</w:t>
            </w:r>
          </w:p>
          <w:p w14:paraId="64199503"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3.根据法规要求，系统内元数据的准确性与系统内的可追溯性，数据库内部必须维护一套ID，用于识别不同的处理结果，各类方法文件，样品，样品组等。此ID必须要求人可读，不受人干预。</w:t>
            </w:r>
          </w:p>
          <w:p w14:paraId="4476787E"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4.系统必须满足可记录用户登入和登出、登入时间、登录失败与否、失败次数、非法登入等信息。</w:t>
            </w:r>
          </w:p>
          <w:p w14:paraId="0FF962E7"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5.系统的数据库备份必须有可视化的数据库备份界面供管理员进行操作。不得通过手动代码或者复制粘贴命令进行。必须支持不停机备份和增量备份。</w:t>
            </w:r>
          </w:p>
          <w:p w14:paraId="6D53E552"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6.数据审计追踪：数据审计追踪必须要求从结果直接追溯到相关进样，方法等信息，要求一键从结果复核所有审计追踪。不得是通过记录版本变化来实现。</w:t>
            </w:r>
          </w:p>
          <w:p w14:paraId="46917DD7"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7.数据存储：数据存储于中心服务器中，支持对中心服务热备份，系统的数据库管理必须有可视化的数据库备份界面供管理员进行操作。不得以批处理命令和操作系统计划任务的方式进行备份。</w:t>
            </w:r>
          </w:p>
          <w:p w14:paraId="56956F1B"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8.系统必须具有分析功能，分析功能包含系统使用，系统概述，方法、人员与项目的统计。该功能必须系统自带直接使用。</w:t>
            </w:r>
          </w:p>
          <w:p w14:paraId="3DD43C05"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t>9.提供网络色谱系统的完全反控以及统一的数据，分级权限管理，完全反控包括Waters/Agilent/Shimadzu/</w:t>
            </w:r>
            <w:proofErr w:type="spellStart"/>
            <w:r w:rsidRPr="009850BC">
              <w:rPr>
                <w:rFonts w:ascii="宋体" w:eastAsia="宋体" w:hAnsi="宋体" w:hint="eastAsia"/>
              </w:rPr>
              <w:t>Thermo</w:t>
            </w:r>
            <w:proofErr w:type="spellEnd"/>
            <w:r w:rsidRPr="009850BC">
              <w:rPr>
                <w:rFonts w:ascii="宋体" w:eastAsia="宋体" w:hAnsi="宋体" w:hint="eastAsia"/>
              </w:rPr>
              <w:t>的UPLC/HPLC/GC</w:t>
            </w:r>
          </w:p>
          <w:p w14:paraId="120F6429" w14:textId="77777777" w:rsidR="009850BC" w:rsidRPr="009850BC" w:rsidRDefault="009850BC" w:rsidP="009850BC">
            <w:pPr>
              <w:spacing w:line="440" w:lineRule="exact"/>
              <w:jc w:val="left"/>
              <w:rPr>
                <w:rFonts w:ascii="宋体" w:eastAsia="宋体" w:hAnsi="宋体" w:hint="eastAsia"/>
              </w:rPr>
            </w:pPr>
            <w:r w:rsidRPr="009850BC">
              <w:rPr>
                <w:rFonts w:ascii="宋体" w:eastAsia="宋体" w:hAnsi="宋体" w:hint="eastAsia"/>
              </w:rPr>
              <w:lastRenderedPageBreak/>
              <w:t>9.具有数据安全性：符合cGMP/GLP和21 CFR Part 11法规的要求，具有电子记录，电子签名之功能。具有分配用户使用权限之功能。</w:t>
            </w:r>
          </w:p>
          <w:p w14:paraId="31340AE2" w14:textId="73823249" w:rsidR="00D94E4F" w:rsidRDefault="009850BC" w:rsidP="009850BC">
            <w:pPr>
              <w:spacing w:line="440" w:lineRule="exact"/>
              <w:jc w:val="left"/>
              <w:rPr>
                <w:rFonts w:ascii="宋体" w:eastAsia="宋体" w:hAnsi="宋体" w:hint="eastAsia"/>
                <w:u w:val="single"/>
              </w:rPr>
            </w:pPr>
            <w:r w:rsidRPr="009850BC">
              <w:rPr>
                <w:rFonts w:ascii="宋体" w:eastAsia="宋体" w:hAnsi="宋体" w:hint="eastAsia"/>
              </w:rPr>
              <w:t>10.带有系统适用性软件，可以计算美国药典（USP）、欧洲药典（EP）和日本药典（JP）的柱效、拖尾因子、分离度等色谱适用性参数。</w:t>
            </w:r>
          </w:p>
        </w:tc>
      </w:tr>
    </w:tbl>
    <w:p w14:paraId="4CA6C001" w14:textId="77777777" w:rsidR="00D94E4F" w:rsidRDefault="00000000">
      <w:pPr>
        <w:ind w:leftChars="-1" w:left="243" w:hangingChars="136" w:hanging="245"/>
        <w:rPr>
          <w:rFonts w:ascii="宋体" w:eastAsia="宋体" w:hAnsi="宋体" w:hint="eastAsia"/>
          <w:sz w:val="18"/>
          <w:szCs w:val="18"/>
        </w:rPr>
      </w:pPr>
      <w:r>
        <w:rPr>
          <w:rFonts w:ascii="宋体" w:eastAsia="宋体" w:hAnsi="宋体" w:hint="eastAsia"/>
          <w:sz w:val="18"/>
          <w:szCs w:val="18"/>
        </w:rPr>
        <w:lastRenderedPageBreak/>
        <w:t xml:space="preserve"> </w:t>
      </w:r>
    </w:p>
    <w:sectPr w:rsidR="00D94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D17F5F"/>
    <w:multiLevelType w:val="singleLevel"/>
    <w:tmpl w:val="8AD17F5F"/>
    <w:lvl w:ilvl="0">
      <w:start w:val="1"/>
      <w:numFmt w:val="decimal"/>
      <w:suff w:val="nothing"/>
      <w:lvlText w:val="%1、"/>
      <w:lvlJc w:val="left"/>
    </w:lvl>
  </w:abstractNum>
  <w:abstractNum w:abstractNumId="1" w15:restartNumberingAfterBreak="0">
    <w:nsid w:val="3906FA8D"/>
    <w:multiLevelType w:val="singleLevel"/>
    <w:tmpl w:val="3906FA8D"/>
    <w:lvl w:ilvl="0">
      <w:start w:val="1"/>
      <w:numFmt w:val="decimal"/>
      <w:suff w:val="nothing"/>
      <w:lvlText w:val="%1、"/>
      <w:lvlJc w:val="left"/>
    </w:lvl>
  </w:abstractNum>
  <w:num w:numId="1" w16cid:durableId="861673127">
    <w:abstractNumId w:val="1"/>
  </w:num>
  <w:num w:numId="2" w16cid:durableId="27421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zMWI4OGEzMGQwNDMxNThjMzIwYjQ2OTE2NGJmNzgifQ=="/>
  </w:docVars>
  <w:rsids>
    <w:rsidRoot w:val="009917FC"/>
    <w:rsid w:val="00077372"/>
    <w:rsid w:val="000F1827"/>
    <w:rsid w:val="0010168B"/>
    <w:rsid w:val="00101889"/>
    <w:rsid w:val="0011746F"/>
    <w:rsid w:val="001D42CB"/>
    <w:rsid w:val="001E53E2"/>
    <w:rsid w:val="002249D2"/>
    <w:rsid w:val="002403C3"/>
    <w:rsid w:val="0027271D"/>
    <w:rsid w:val="003372BD"/>
    <w:rsid w:val="003A2F42"/>
    <w:rsid w:val="00400758"/>
    <w:rsid w:val="00427180"/>
    <w:rsid w:val="00454E0F"/>
    <w:rsid w:val="004B48CF"/>
    <w:rsid w:val="0068033E"/>
    <w:rsid w:val="007C0E4C"/>
    <w:rsid w:val="0085369C"/>
    <w:rsid w:val="00870D73"/>
    <w:rsid w:val="008909D1"/>
    <w:rsid w:val="0090221E"/>
    <w:rsid w:val="009850BC"/>
    <w:rsid w:val="009917FC"/>
    <w:rsid w:val="009B4A4B"/>
    <w:rsid w:val="00A44303"/>
    <w:rsid w:val="00A74C0E"/>
    <w:rsid w:val="00A7772A"/>
    <w:rsid w:val="00B02A13"/>
    <w:rsid w:val="00B31CA1"/>
    <w:rsid w:val="00B50722"/>
    <w:rsid w:val="00B67485"/>
    <w:rsid w:val="00BB297B"/>
    <w:rsid w:val="00C65EBB"/>
    <w:rsid w:val="00CC005D"/>
    <w:rsid w:val="00D000B2"/>
    <w:rsid w:val="00D1460F"/>
    <w:rsid w:val="00D210BB"/>
    <w:rsid w:val="00D224C8"/>
    <w:rsid w:val="00D94E4F"/>
    <w:rsid w:val="00E60A04"/>
    <w:rsid w:val="00E9242E"/>
    <w:rsid w:val="00F06A8F"/>
    <w:rsid w:val="00F85F45"/>
    <w:rsid w:val="00FE49C2"/>
    <w:rsid w:val="064D7254"/>
    <w:rsid w:val="10F03C35"/>
    <w:rsid w:val="156F6E5A"/>
    <w:rsid w:val="19EA2F53"/>
    <w:rsid w:val="1A9A264C"/>
    <w:rsid w:val="1B334486"/>
    <w:rsid w:val="1BE20386"/>
    <w:rsid w:val="1DC35F95"/>
    <w:rsid w:val="20146634"/>
    <w:rsid w:val="25684C9B"/>
    <w:rsid w:val="26872E0C"/>
    <w:rsid w:val="29F23974"/>
    <w:rsid w:val="2CD94E8D"/>
    <w:rsid w:val="31ED6B99"/>
    <w:rsid w:val="346D5E8F"/>
    <w:rsid w:val="36A24B9E"/>
    <w:rsid w:val="36FB1B13"/>
    <w:rsid w:val="3B8C756F"/>
    <w:rsid w:val="3CE753A4"/>
    <w:rsid w:val="3CE7570A"/>
    <w:rsid w:val="474D22A8"/>
    <w:rsid w:val="482560AD"/>
    <w:rsid w:val="499A4D8E"/>
    <w:rsid w:val="4AD4683C"/>
    <w:rsid w:val="4D5910C0"/>
    <w:rsid w:val="4D6F764D"/>
    <w:rsid w:val="53DD49B3"/>
    <w:rsid w:val="563C7D2D"/>
    <w:rsid w:val="56BB4D84"/>
    <w:rsid w:val="59140E77"/>
    <w:rsid w:val="59691018"/>
    <w:rsid w:val="597C07CB"/>
    <w:rsid w:val="59830B6B"/>
    <w:rsid w:val="5E6F3A78"/>
    <w:rsid w:val="5F4E6765"/>
    <w:rsid w:val="60482872"/>
    <w:rsid w:val="6175447D"/>
    <w:rsid w:val="63E01DAE"/>
    <w:rsid w:val="646C40D6"/>
    <w:rsid w:val="655F453A"/>
    <w:rsid w:val="65DE6CC0"/>
    <w:rsid w:val="66DC3975"/>
    <w:rsid w:val="68692D77"/>
    <w:rsid w:val="69E71C90"/>
    <w:rsid w:val="6A742DAF"/>
    <w:rsid w:val="6B547DCC"/>
    <w:rsid w:val="6C8163CC"/>
    <w:rsid w:val="6F4A6F49"/>
    <w:rsid w:val="721B082B"/>
    <w:rsid w:val="752D75F2"/>
    <w:rsid w:val="75F419BD"/>
    <w:rsid w:val="773A6661"/>
    <w:rsid w:val="77D00208"/>
    <w:rsid w:val="78234083"/>
    <w:rsid w:val="78D64A94"/>
    <w:rsid w:val="78F24E98"/>
    <w:rsid w:val="7B7B492E"/>
    <w:rsid w:val="7C321491"/>
    <w:rsid w:val="7CE24CE3"/>
    <w:rsid w:val="7F53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C969"/>
  <w15:docId w15:val="{D80539BF-E56C-447D-A0AE-B1C23F0C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before="140" w:after="1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spacing w:after="120"/>
      <w:ind w:leftChars="700" w:left="1440" w:rightChars="700" w:right="144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9"/>
    <w:qFormat/>
    <w:pPr>
      <w:spacing w:before="25" w:after="25"/>
    </w:pPr>
    <w:rPr>
      <w:bCs/>
      <w:spacing w:val="10"/>
      <w:sz w:val="24"/>
      <w:szCs w:val="20"/>
    </w:rPr>
  </w:style>
  <w:style w:type="paragraph" w:customStyle="1" w:styleId="a9">
    <w:name w:val="表格文字（两侧对齐）"/>
    <w:basedOn w:val="a"/>
    <w:qFormat/>
    <w:pPr>
      <w:snapToGrid w:val="0"/>
    </w:pPr>
    <w:rPr>
      <w:rFonts w:ascii="Calibri" w:hAnsi="Calibri" w:cs="Times New Roman"/>
      <w:kern w:val="0"/>
      <w:sz w:val="20"/>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136</Words>
  <Characters>780</Characters>
  <Application>Microsoft Office Word</Application>
  <DocSecurity>0</DocSecurity>
  <Lines>6</Lines>
  <Paragraphs>1</Paragraphs>
  <ScaleCrop>false</ScaleCrop>
  <Company>南京中医药大学</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Ning Ding</cp:lastModifiedBy>
  <cp:revision>29</cp:revision>
  <cp:lastPrinted>2023-11-24T08:23:00Z</cp:lastPrinted>
  <dcterms:created xsi:type="dcterms:W3CDTF">2018-09-05T07:41:00Z</dcterms:created>
  <dcterms:modified xsi:type="dcterms:W3CDTF">2025-08-26T17:40:00Z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28BC0186B852414D9B0569831260B6E6_13</vt:lpwstr>
  </property>
  <property fmtid="{D5CDD505-2E9C-101B-9397-08002B2CF9AE}" pid="4" name="KSOTemplateDocerSaveRecord">
    <vt:lpwstr>eyJoZGlkIjoiNzYxNjkyZTFhNWY2MTJkNDc5MzBhYzI0MzExZDYxNWUiLCJ1c2VySWQiOiI0MTk3NjEyOTYifQ==</vt:lpwstr>
  </property>
</Properties>
</file>