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60" w:firstLineChars="50"/>
        <w:jc w:val="left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 w:ascii="Times New Roman" w:hAnsi="Times New Roman"/>
          <w:lang w:val="en-US" w:eastAsia="zh-CN"/>
        </w:rPr>
      </w:pPr>
    </w:p>
    <w:p>
      <w:pPr>
        <w:spacing w:line="600" w:lineRule="exact"/>
        <w:ind w:firstLine="220" w:firstLineChars="5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保健食品备案产品剂型及技术要求</w:t>
      </w:r>
    </w:p>
    <w:p>
      <w:pPr>
        <w:spacing w:line="600" w:lineRule="exact"/>
        <w:ind w:firstLine="220" w:firstLineChars="5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（2021年版）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一、保健食品备案产品剂型（或食品形态）及主要生产工艺如下：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片剂：粉碎、过筛、混合、制粒、干燥、压片、包衣、包装等。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硬胶囊：粉碎、过筛、混合、制粒、干燥、装囊、包装等。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软胶囊：混合、均质、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过滤、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压丸、干燥、包装等。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口服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溶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液：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混合、溶解、配制、过滤、灌装、包装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等（涉及灭菌的，应填报具体灭菌方法及工艺参数，如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湿热灭菌、热压灭菌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、流通蒸汽灭菌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等）。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颗粒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：粉碎、过筛、混合、制粒、干燥、包装等。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凝胶糖果：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溶胶、化糖、熬煮、混合、调配、过滤、充气、成型、干燥、拌砂、包衣、抛光、涂挂、包装等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粉剂：粉碎、过筛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混合、分装、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包装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等。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经预混、包埋、微囊化等前处理的原料，应以预混（**、**、**）、包埋（**、**、**）、微囊化（**、**、**）等形式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生产工艺中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标注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经预混、包埋、微囊化等前处理的原料名称。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二、保健食品备案产品剂型及技术要求如下：</w:t>
      </w:r>
    </w:p>
    <w:p>
      <w:pPr>
        <w:widowControl/>
        <w:numPr>
          <w:ilvl w:val="0"/>
          <w:numId w:val="2"/>
        </w:num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补充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维生素矿物质产品在备案时可以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选用以上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剂型（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或食品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形态）及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主要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生产工艺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widowControl/>
        <w:numPr>
          <w:ilvl w:val="0"/>
          <w:numId w:val="2"/>
        </w:num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片剂、硬胶囊、软胶囊、口服溶液、颗粒剂为现行《中国药典》中收载的剂型，技术要求中指标设定参考现行《中国药典》和《食品安全国家标准 保健食品》（GB16740）。</w:t>
      </w:r>
    </w:p>
    <w:p>
      <w:pPr>
        <w:widowControl/>
        <w:numPr>
          <w:ilvl w:val="0"/>
          <w:numId w:val="2"/>
        </w:num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此次纳入备案的凝胶糖果和粉剂属于食品形态，其技术指标无相应的国家标准，凝胶糖果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粉剂的保健食品技术要求详见附件。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Cs w:val="32"/>
        </w:rPr>
        <w:t>（四）辅酶Q</w:t>
      </w:r>
      <w:r>
        <w:rPr>
          <w:rFonts w:hint="eastAsia" w:ascii="Times New Roman" w:hAnsi="Times New Roman" w:eastAsia="仿宋_GB2312" w:cs="Times New Roman"/>
          <w:color w:val="auto"/>
          <w:szCs w:val="32"/>
          <w:vertAlign w:val="subscript"/>
        </w:rPr>
        <w:t>10</w:t>
      </w:r>
      <w:r>
        <w:rPr>
          <w:rFonts w:hint="eastAsia" w:ascii="Times New Roman" w:hAnsi="Times New Roman" w:eastAsia="仿宋_GB2312" w:cs="Times New Roman"/>
          <w:color w:val="auto"/>
          <w:szCs w:val="32"/>
        </w:rPr>
        <w:t>等五种保健食品原料备案产品剂型及技术要求需符合《辅酶Q</w:t>
      </w:r>
      <w:r>
        <w:rPr>
          <w:rFonts w:hint="eastAsia" w:ascii="Times New Roman" w:hAnsi="Times New Roman" w:eastAsia="仿宋_GB2312" w:cs="Times New Roman"/>
          <w:color w:val="auto"/>
          <w:szCs w:val="32"/>
          <w:vertAlign w:val="subscript"/>
        </w:rPr>
        <w:t>10</w:t>
      </w:r>
      <w:r>
        <w:rPr>
          <w:rFonts w:hint="eastAsia" w:ascii="Times New Roman" w:hAnsi="Times New Roman" w:eastAsia="仿宋_GB2312" w:cs="Times New Roman"/>
          <w:color w:val="auto"/>
          <w:szCs w:val="32"/>
        </w:rPr>
        <w:t>等五种保健食品原料备案产品剂型及技术要求》相关要求。</w:t>
      </w:r>
    </w:p>
    <w:p>
      <w:pPr>
        <w:pStyle w:val="2"/>
        <w:widowControl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（五）根据保健食品原料目录的陆续发布情况，不同原料可以制备的剂型（或食品形态）以《保健食品原料目录》及其配套文件发布时规定的剂型（或食品形态）为准。</w:t>
      </w:r>
    </w:p>
    <w:p>
      <w:pPr>
        <w:pStyle w:val="2"/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widowControl/>
        <w:spacing w:line="600" w:lineRule="exact"/>
        <w:ind w:left="1918" w:leftChars="304" w:hanging="1280" w:hangingChars="4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附件：1.保健食品备案剂型凝胶糖果的技术要求（2021年版）</w:t>
      </w:r>
    </w:p>
    <w:p>
      <w:pPr>
        <w:widowControl/>
        <w:spacing w:line="600" w:lineRule="exact"/>
        <w:ind w:firstLine="1600" w:firstLineChars="5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2.保健食品备案剂型粉剂的技术要求（2021年版）</w:t>
      </w:r>
    </w:p>
    <w:p>
      <w:pPr>
        <w:widowControl/>
        <w:spacing w:line="600" w:lineRule="exact"/>
        <w:ind w:left="2238" w:leftChars="304" w:hanging="1600" w:hangingChars="5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Cs w:val="32"/>
          <w:lang w:val="en-US" w:eastAsia="zh-CN"/>
        </w:rPr>
        <w:t>2-</w:t>
      </w:r>
      <w:r>
        <w:rPr>
          <w:rFonts w:hint="default" w:ascii="Times New Roman" w:hAnsi="Times New Roman" w:eastAsia="黑体" w:cs="Times New Roman"/>
          <w:color w:val="auto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保健食品备案剂型凝胶糖果的技术要求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2021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年版）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1.凝胶糖果概述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用于保健食品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备案的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凝胶糖果是以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纳入保健食品原料目录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原料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，与食糖或糖浆或甜味剂、食用胶（或淀粉）等辅料，经相关工艺制成具有弹性和咀嚼性的糖果。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2.凝胶糖果产品说明书有关内容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以下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内容仅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针对凝胶糖果食品形态规定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需要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满足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有关要求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，不涉及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使用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原料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辅料在制成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产品时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还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符合的其他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规定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产品说明书中有关内容要求如下：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【适宜人群】4岁以上人群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【不适宜人群】3岁以下人群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【食用量及食用方法】每日最大食用量为2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0g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；食用方法为“应充分咀嚼后服用”。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【规格】每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粒不超过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6g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【保质期】不超过24个月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【注意事项】请勿吞服。食用本产品的人群应当具备有咀嚼固体食物的能力。同时对于适宜人群含有“1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岁以下”的，建议增加“应在成人监督下充分咀嚼食用”的提示。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3.凝胶糖果产品技术要求的指标设定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以下内容仅针对凝胶糖果食品形态规定了需要满足的有关要求，不涉及使用的原料辅料在制成产品时还需要符合的其他规定。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产品技术要求有关内容要求如下：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【感官要求】</w:t>
      </w:r>
    </w:p>
    <w:tbl>
      <w:tblPr>
        <w:tblStyle w:val="7"/>
        <w:tblW w:w="8946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7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9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项 目</w:t>
            </w:r>
          </w:p>
        </w:tc>
        <w:tc>
          <w:tcPr>
            <w:tcW w:w="735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指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9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色 泽</w:t>
            </w:r>
          </w:p>
        </w:tc>
        <w:tc>
          <w:tcPr>
            <w:tcW w:w="7353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填写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要求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符合相应产品的外观特性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,具有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品种应有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的色泽。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9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滋味、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气味</w:t>
            </w:r>
          </w:p>
        </w:tc>
        <w:tc>
          <w:tcPr>
            <w:tcW w:w="7353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填写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要求：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具有产品应有的气味和滋味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,无异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臭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,无异味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9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状 态</w:t>
            </w:r>
          </w:p>
        </w:tc>
        <w:tc>
          <w:tcPr>
            <w:tcW w:w="7353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块形较完整，大小基本一致，无明显变形，无黏结。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此外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，对于不同胶型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应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符合以下要求：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植物胶型：略有弹性，有咀嚼性。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动物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胶型：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有弹性和咀嚼性，无皱皮。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淀粉型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口感韧性，略有咀嚼性，无淀粉裹筋现象，以淀粉为原料的，表面可有少量均匀熟淀粉，具有弹性和韧性。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混合胶型：有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弹性和咀嚼性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夹心型：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有弹性和咀嚼性；密闭的夹心型无馅心外漏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包衣、包衣抛光型：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包衣较完整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其他型：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符合品种应有的状态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【理化指标】</w:t>
      </w:r>
    </w:p>
    <w:tbl>
      <w:tblPr>
        <w:tblStyle w:val="7"/>
        <w:tblW w:w="8957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2"/>
        <w:gridCol w:w="4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2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项 目</w:t>
            </w:r>
          </w:p>
        </w:tc>
        <w:tc>
          <w:tcPr>
            <w:tcW w:w="4885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指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2" w:type="dxa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铅（以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Pb计），mg/kg</w:t>
            </w:r>
          </w:p>
        </w:tc>
        <w:tc>
          <w:tcPr>
            <w:tcW w:w="4885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≤0.5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2" w:type="dxa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总砷（以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As计），mg/kg </w:t>
            </w:r>
          </w:p>
        </w:tc>
        <w:tc>
          <w:tcPr>
            <w:tcW w:w="4885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2" w:type="dxa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总汞（以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Hg计），mg/kg</w:t>
            </w:r>
          </w:p>
        </w:tc>
        <w:tc>
          <w:tcPr>
            <w:tcW w:w="4885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2" w:type="dxa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干燥失重，g/100g   </w:t>
            </w:r>
          </w:p>
        </w:tc>
        <w:tc>
          <w:tcPr>
            <w:tcW w:w="4885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植物胶型：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18.0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动物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胶型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20.0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淀粉型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：≤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18.0</w:t>
            </w:r>
          </w:p>
          <w:p>
            <w:pPr>
              <w:tabs>
                <w:tab w:val="left" w:pos="2744"/>
              </w:tabs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混合型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：≤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35.0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夹心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包衣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和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包衣抛光型：符合主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体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糖果的要求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其他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胶型：≤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2" w:type="dxa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还原糖（以葡萄糖计）, g/100g </w:t>
            </w:r>
          </w:p>
        </w:tc>
        <w:tc>
          <w:tcPr>
            <w:tcW w:w="4885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≥10.0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夹心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包衣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和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包衣抛光型：符合主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体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糖果的要求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无糖胶型凝胶糖果不设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该指标。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2" w:type="dxa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单糖和双糖,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g/100g</w:t>
            </w:r>
          </w:p>
        </w:tc>
        <w:tc>
          <w:tcPr>
            <w:tcW w:w="4885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≤0.5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无糖胶型凝胶糖果设定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该指标</w:t>
            </w:r>
          </w:p>
        </w:tc>
      </w:tr>
    </w:tbl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【微生物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指标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】</w:t>
      </w:r>
    </w:p>
    <w:tbl>
      <w:tblPr>
        <w:tblStyle w:val="7"/>
        <w:tblW w:w="8968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9"/>
        <w:gridCol w:w="2558"/>
        <w:gridCol w:w="3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项 目</w:t>
            </w:r>
          </w:p>
        </w:tc>
        <w:tc>
          <w:tcPr>
            <w:tcW w:w="255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指标</w:t>
            </w:r>
          </w:p>
        </w:tc>
        <w:tc>
          <w:tcPr>
            <w:tcW w:w="3541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菌落总数，CFU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/g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≤30000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大肠菌群，M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PN/g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≤0.92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4789.3MPN计数法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霉菌和酵母，CFU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/g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≤50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金黄色葡萄球菌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≤0/25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g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沙门氏菌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≤0/25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g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4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【净含量及允许负偏差指标】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净含量及允许负偏差指标应符合JJF 1070规定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4.产品名称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商标名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+通用名+凝胶糖果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5.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使用范围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以纳入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保健食品原料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目录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维生素矿物质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为原料的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产品可以使用凝胶糖果食品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形态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其他列入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保健食品原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料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目录的原料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能否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允许使用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食品形态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，将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原料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配套文件发布时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规定进行确定。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color w:val="auto"/>
          <w:szCs w:val="32"/>
          <w:lang w:val="en-US" w:eastAsia="zh-CN"/>
        </w:rPr>
        <w:t>-2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保健食品备案剂型粉剂的技术要求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2021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年版）</w:t>
      </w:r>
    </w:p>
    <w:p>
      <w:pPr>
        <w:pStyle w:val="2"/>
        <w:rPr>
          <w:rFonts w:ascii="Times New Roman" w:hAnsi="Times New Roman" w:cs="Times New Roman"/>
          <w:color w:val="auto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1.粉剂概述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用于保健食品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备案的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粉剂是以纳入保健食品原料目录的原料与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辅料经粉碎、均匀混合制成的干燥粉末状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成品。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2.粉剂产品说明书有关内容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以下内容仅针对粉剂食品形态规定了需要满足的有关要求，不涉及使用的原料辅料在制成产品时另需要符合的其他规定。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产品说明书中有关内容要求如下：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【适宜人群】该剂型应该适宜于所有人群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【不适宜人群】该剂型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暂无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特定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的不适宜人群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【食用量及食用方法】每日最大食用量为2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0g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；增加提示“粉剂服用时一般溶于或分散于水或者其他液体中服用，也可直接用水送服”。对于食用方法为“直接口服”的，不适宜人群应包括“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6岁以下人群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【规格】对于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大剂量包装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，限定每个包装的装量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不超过500g（原则上不超过1个月的服用量）。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剂量包装应附分剂量的用具。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【保质期】不超过24个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月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3.粉剂产品技术要求有关内容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以下内容仅针对粉剂食品形态规定了需要满足的有关要求，不涉及使用的原料在制成产品时另需要符合的其他规定。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产品技术要求有关内容要求如下：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【感官要求】</w:t>
      </w:r>
    </w:p>
    <w:tbl>
      <w:tblPr>
        <w:tblStyle w:val="7"/>
        <w:tblW w:w="8946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7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项 目</w:t>
            </w:r>
          </w:p>
        </w:tc>
        <w:tc>
          <w:tcPr>
            <w:tcW w:w="725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指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色泽</w:t>
            </w:r>
          </w:p>
        </w:tc>
        <w:tc>
          <w:tcPr>
            <w:tcW w:w="72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填写要求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符合相应产品的外观特性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,具有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品种应有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的色泽。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滋味、气味</w:t>
            </w:r>
          </w:p>
        </w:tc>
        <w:tc>
          <w:tcPr>
            <w:tcW w:w="72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填写要求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具有产品应有的气味和滋味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,无异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臭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,无异味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状态</w:t>
            </w:r>
          </w:p>
        </w:tc>
        <w:tc>
          <w:tcPr>
            <w:tcW w:w="72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i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应干燥、疏松、混合均匀、色泽一致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【理化指标】</w:t>
      </w:r>
    </w:p>
    <w:tbl>
      <w:tblPr>
        <w:tblStyle w:val="7"/>
        <w:tblW w:w="8946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4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项 目</w:t>
            </w:r>
          </w:p>
        </w:tc>
        <w:tc>
          <w:tcPr>
            <w:tcW w:w="4866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指 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粒度</w:t>
            </w:r>
          </w:p>
        </w:tc>
        <w:tc>
          <w:tcPr>
            <w:tcW w:w="48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符合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《中国药典》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中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粗粉、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中粉、细粉、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最细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粉中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任意一种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铅（以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Pb计），mg/kg</w:t>
            </w:r>
          </w:p>
        </w:tc>
        <w:tc>
          <w:tcPr>
            <w:tcW w:w="48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≤2.0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ab/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婴幼儿固态保健食品的铅≤0.3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总砷（以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As计），mg/kg</w:t>
            </w:r>
          </w:p>
        </w:tc>
        <w:tc>
          <w:tcPr>
            <w:tcW w:w="48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≤1.0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婴幼儿保健食品的总砷≤0.3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总汞（以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Hg计），mg/kg</w:t>
            </w:r>
          </w:p>
        </w:tc>
        <w:tc>
          <w:tcPr>
            <w:tcW w:w="48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≤0.3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婴幼儿保健食品的总汞≤0.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水分，%</w:t>
            </w:r>
          </w:p>
        </w:tc>
        <w:tc>
          <w:tcPr>
            <w:tcW w:w="48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灰分，%</w:t>
            </w:r>
          </w:p>
        </w:tc>
        <w:tc>
          <w:tcPr>
            <w:tcW w:w="48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必填项</w:t>
            </w:r>
          </w:p>
        </w:tc>
      </w:tr>
    </w:tbl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【微生物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指标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】</w:t>
      </w:r>
    </w:p>
    <w:tbl>
      <w:tblPr>
        <w:tblStyle w:val="7"/>
        <w:tblW w:w="8957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558"/>
        <w:gridCol w:w="3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项 目</w:t>
            </w:r>
          </w:p>
        </w:tc>
        <w:tc>
          <w:tcPr>
            <w:tcW w:w="255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指 标</w:t>
            </w:r>
          </w:p>
        </w:tc>
        <w:tc>
          <w:tcPr>
            <w:tcW w:w="354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菌落总数，CFU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/g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≤30000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大肠菌群，M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PN/g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≤0.92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4789.3MPN计数法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霉菌和酵母，CFU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/g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≤50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金黄色葡萄球菌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≤0/25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g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沙门氏菌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≤0/25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g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4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【净含量及允许负偏差指标】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净含量及允许负偏差指标应符合JJF 1070规定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4.产品名称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商标名+通用名+粉（原料名称已带“粉”的不再重复添加）</w:t>
      </w:r>
    </w:p>
    <w:p>
      <w:pPr>
        <w:spacing w:line="600" w:lineRule="exact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6A8EA"/>
    <w:multiLevelType w:val="singleLevel"/>
    <w:tmpl w:val="2196A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43C6957"/>
    <w:multiLevelType w:val="singleLevel"/>
    <w:tmpl w:val="543C695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2EA"/>
    <w:rsid w:val="004962EA"/>
    <w:rsid w:val="1756747A"/>
    <w:rsid w:val="5E370F20"/>
    <w:rsid w:val="7732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2021-02-20T06:27:00Z</dcterms:created>
  <dc:creator>周石平</dc:creator>
  <cp:lastModifiedBy>周石平</cp:lastModifiedBy>
  <dcterms:modified xsi:type="dcterms:W3CDTF">2021-02-25T07:44:02Z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