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eastAsia="黑体"/>
          <w:sz w:val="32"/>
        </w:rPr>
      </w:pPr>
      <w:r>
        <w:rPr>
          <w:rFonts w:hint="eastAsia" w:eastAsia="黑体"/>
          <w:sz w:val="32"/>
        </w:rPr>
        <w:t>南京中医药大学</w:t>
      </w:r>
    </w:p>
    <w:p>
      <w:pPr>
        <w:pStyle w:val="3"/>
        <w:spacing w:line="240" w:lineRule="auto"/>
        <w:jc w:val="center"/>
        <w:rPr>
          <w:rFonts w:eastAsia="黑体"/>
          <w:sz w:val="32"/>
        </w:rPr>
      </w:pPr>
      <w:r>
        <w:rPr>
          <w:rFonts w:hint="eastAsia" w:eastAsia="黑体"/>
          <w:sz w:val="32"/>
        </w:rPr>
        <w:t>可供转化或合作的科技成果信息表</w:t>
      </w:r>
    </w:p>
    <w:p>
      <w:pPr>
        <w:pStyle w:val="3"/>
        <w:spacing w:line="240" w:lineRule="auto"/>
        <w:jc w:val="center"/>
        <w:rPr>
          <w:rFonts w:eastAsia="黑体"/>
          <w:sz w:val="21"/>
        </w:rPr>
      </w:pPr>
    </w:p>
    <w:tbl>
      <w:tblPr>
        <w:tblStyle w:val="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381"/>
        <w:gridCol w:w="538"/>
        <w:gridCol w:w="1231"/>
        <w:gridCol w:w="1470"/>
        <w:gridCol w:w="10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80" w:type="dxa"/>
            <w:vAlign w:val="center"/>
          </w:tcPr>
          <w:p>
            <w:pPr>
              <w:pStyle w:val="3"/>
              <w:spacing w:line="240" w:lineRule="auto"/>
              <w:jc w:val="distribute"/>
              <w:rPr>
                <w:rFonts w:ascii="宋体" w:hAnsi="宋体" w:cs="宋体"/>
                <w:b/>
                <w:sz w:val="21"/>
              </w:rPr>
            </w:pPr>
            <w:r>
              <w:rPr>
                <w:rFonts w:hint="eastAsia" w:ascii="宋体" w:hAnsi="宋体" w:cs="宋体"/>
                <w:b/>
                <w:sz w:val="21"/>
              </w:rPr>
              <w:t>项目名称</w:t>
            </w:r>
          </w:p>
        </w:tc>
        <w:tc>
          <w:tcPr>
            <w:tcW w:w="7950" w:type="dxa"/>
            <w:gridSpan w:val="6"/>
            <w:vAlign w:val="center"/>
          </w:tcPr>
          <w:p>
            <w:pPr>
              <w:pStyle w:val="3"/>
              <w:spacing w:line="240" w:lineRule="auto"/>
              <w:rPr>
                <w:rFonts w:ascii="宋体" w:hAnsi="宋体" w:cs="宋体"/>
                <w:sz w:val="21"/>
                <w:szCs w:val="22"/>
              </w:rPr>
            </w:pPr>
            <w:r>
              <w:rPr>
                <w:rFonts w:hint="eastAsia" w:ascii="宋体" w:hAnsi="宋体" w:cs="宋体"/>
                <w:sz w:val="21"/>
                <w:szCs w:val="22"/>
              </w:rPr>
              <w:t>荔枝草含片新药开发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80" w:type="dxa"/>
            <w:vAlign w:val="center"/>
          </w:tcPr>
          <w:p>
            <w:pPr>
              <w:pStyle w:val="3"/>
              <w:spacing w:line="240" w:lineRule="auto"/>
              <w:jc w:val="distribute"/>
              <w:rPr>
                <w:rFonts w:ascii="宋体" w:hAnsi="宋体" w:cs="宋体"/>
                <w:b/>
                <w:sz w:val="21"/>
              </w:rPr>
            </w:pPr>
            <w:r>
              <w:rPr>
                <w:rFonts w:hint="eastAsia" w:ascii="宋体" w:hAnsi="宋体" w:cs="宋体"/>
                <w:b/>
                <w:sz w:val="21"/>
              </w:rPr>
              <w:t>项目负责人</w:t>
            </w:r>
          </w:p>
        </w:tc>
        <w:tc>
          <w:tcPr>
            <w:tcW w:w="1919" w:type="dxa"/>
            <w:gridSpan w:val="2"/>
            <w:vAlign w:val="center"/>
          </w:tcPr>
          <w:p>
            <w:pPr>
              <w:pStyle w:val="3"/>
              <w:spacing w:line="240" w:lineRule="auto"/>
              <w:rPr>
                <w:rFonts w:hint="default" w:ascii="宋体" w:hAnsi="宋体" w:eastAsia="宋体" w:cs="宋体"/>
                <w:sz w:val="21"/>
                <w:lang w:val="en-US" w:eastAsia="zh-CN"/>
              </w:rPr>
            </w:pPr>
            <w:r>
              <w:rPr>
                <w:rFonts w:hint="eastAsia" w:ascii="宋体" w:hAnsi="宋体" w:cs="宋体"/>
                <w:sz w:val="21"/>
                <w:lang w:val="en-US" w:eastAsia="zh-CN"/>
              </w:rPr>
              <w:t>程建明</w:t>
            </w:r>
          </w:p>
        </w:tc>
        <w:tc>
          <w:tcPr>
            <w:tcW w:w="1231" w:type="dxa"/>
            <w:vAlign w:val="center"/>
          </w:tcPr>
          <w:p>
            <w:pPr>
              <w:pStyle w:val="3"/>
              <w:spacing w:line="240" w:lineRule="auto"/>
              <w:jc w:val="distribute"/>
              <w:rPr>
                <w:rFonts w:ascii="宋体" w:hAnsi="宋体" w:cs="宋体"/>
                <w:sz w:val="21"/>
              </w:rPr>
            </w:pPr>
            <w:r>
              <w:rPr>
                <w:rFonts w:hint="eastAsia" w:ascii="宋体" w:hAnsi="宋体" w:cs="宋体"/>
                <w:sz w:val="21"/>
              </w:rPr>
              <w:t>承担单位</w:t>
            </w:r>
          </w:p>
        </w:tc>
        <w:tc>
          <w:tcPr>
            <w:tcW w:w="1470" w:type="dxa"/>
            <w:vAlign w:val="center"/>
          </w:tcPr>
          <w:p>
            <w:pPr>
              <w:pStyle w:val="3"/>
              <w:spacing w:line="240" w:lineRule="auto"/>
              <w:rPr>
                <w:rFonts w:ascii="宋体" w:hAnsi="宋体" w:cs="宋体"/>
                <w:sz w:val="21"/>
              </w:rPr>
            </w:pPr>
            <w:r>
              <w:rPr>
                <w:rFonts w:hint="eastAsia" w:ascii="宋体" w:hAnsi="宋体" w:cs="宋体"/>
                <w:sz w:val="21"/>
              </w:rPr>
              <w:t>南京中医药大学</w:t>
            </w:r>
          </w:p>
        </w:tc>
        <w:tc>
          <w:tcPr>
            <w:tcW w:w="1096" w:type="dxa"/>
            <w:vAlign w:val="center"/>
          </w:tcPr>
          <w:p>
            <w:pPr>
              <w:pStyle w:val="3"/>
              <w:spacing w:line="240" w:lineRule="auto"/>
              <w:jc w:val="distribute"/>
              <w:rPr>
                <w:rFonts w:ascii="宋体" w:hAnsi="宋体" w:cs="宋体"/>
                <w:sz w:val="21"/>
              </w:rPr>
            </w:pPr>
            <w:r>
              <w:rPr>
                <w:rFonts w:hint="eastAsia" w:ascii="宋体" w:hAnsi="宋体" w:cs="宋体"/>
                <w:sz w:val="21"/>
              </w:rPr>
              <w:t>联系方式</w:t>
            </w:r>
          </w:p>
        </w:tc>
        <w:tc>
          <w:tcPr>
            <w:tcW w:w="2234" w:type="dxa"/>
            <w:vAlign w:val="center"/>
          </w:tcPr>
          <w:p>
            <w:pPr>
              <w:pStyle w:val="3"/>
              <w:spacing w:line="240" w:lineRule="auto"/>
              <w:rPr>
                <w:rFonts w:ascii="宋体" w:hAnsi="宋体" w:cs="宋体"/>
                <w:sz w:val="21"/>
              </w:rPr>
            </w:pPr>
            <w:r>
              <w:rPr>
                <w:rFonts w:hint="eastAsia" w:ascii="宋体" w:hAnsi="宋体" w:cs="宋体"/>
                <w:sz w:val="21"/>
              </w:rPr>
              <w:t>嵇晶/13951835384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80" w:type="dxa"/>
            <w:vAlign w:val="center"/>
          </w:tcPr>
          <w:p>
            <w:pPr>
              <w:pStyle w:val="3"/>
              <w:spacing w:line="240" w:lineRule="auto"/>
              <w:jc w:val="distribute"/>
              <w:rPr>
                <w:rFonts w:ascii="宋体" w:hAnsi="宋体" w:cs="宋体"/>
                <w:b/>
                <w:sz w:val="21"/>
              </w:rPr>
            </w:pPr>
            <w:r>
              <w:rPr>
                <w:rFonts w:hint="eastAsia" w:ascii="宋体" w:hAnsi="宋体" w:cs="宋体"/>
                <w:b/>
                <w:sz w:val="21"/>
              </w:rPr>
              <w:t>知识产权状况</w:t>
            </w:r>
          </w:p>
        </w:tc>
        <w:tc>
          <w:tcPr>
            <w:tcW w:w="7950" w:type="dxa"/>
            <w:gridSpan w:val="6"/>
            <w:vAlign w:val="center"/>
          </w:tcPr>
          <w:p>
            <w:pPr>
              <w:pStyle w:val="3"/>
              <w:spacing w:line="240" w:lineRule="auto"/>
              <w:rPr>
                <w:rFonts w:ascii="宋体" w:hAnsi="宋体" w:cs="宋体"/>
                <w:sz w:val="21"/>
              </w:rPr>
            </w:pPr>
            <w:r>
              <w:rPr>
                <w:rFonts w:hint="eastAsia" w:ascii="宋体" w:hAnsi="宋体" w:cs="宋体"/>
                <w:sz w:val="28"/>
              </w:rPr>
              <w:t></w:t>
            </w:r>
            <w:r>
              <w:rPr>
                <w:rFonts w:hint="eastAsia" w:ascii="宋体" w:hAnsi="宋体" w:cs="宋体"/>
                <w:sz w:val="21"/>
                <w:szCs w:val="22"/>
              </w:rPr>
              <w:t>新药证书　  临床批件</w:t>
            </w:r>
            <w:r>
              <w:rPr>
                <w:rFonts w:hint="eastAsia" w:ascii="宋体" w:hAnsi="宋体" w:cs="宋体"/>
                <w:sz w:val="21"/>
                <w:szCs w:val="22"/>
              </w:rPr>
              <w:sym w:font="Wingdings" w:char="00FE"/>
            </w:r>
            <w:r>
              <w:rPr>
                <w:rFonts w:hint="eastAsia" w:ascii="宋体" w:hAnsi="宋体" w:cs="宋体"/>
                <w:sz w:val="21"/>
                <w:szCs w:val="22"/>
              </w:rPr>
              <w:t xml:space="preserve"> 保健食品</w:t>
            </w:r>
            <w:r>
              <w:rPr>
                <w:rFonts w:ascii="宋体" w:hAnsi="宋体" w:cs="宋体"/>
                <w:sz w:val="21"/>
                <w:szCs w:val="22"/>
              </w:rPr>
              <w:t>证书</w:t>
            </w:r>
            <w:r>
              <w:rPr>
                <w:rFonts w:hint="eastAsia" w:ascii="宋体" w:hAnsi="宋体" w:cs="宋体"/>
                <w:sz w:val="21"/>
                <w:szCs w:val="22"/>
              </w:rPr>
              <w:t xml:space="preserve">   功能性</w:t>
            </w:r>
            <w:r>
              <w:rPr>
                <w:rFonts w:ascii="宋体" w:hAnsi="宋体" w:cs="宋体"/>
                <w:sz w:val="21"/>
                <w:szCs w:val="22"/>
              </w:rPr>
              <w:t>食品</w:t>
            </w:r>
            <w:r>
              <w:rPr>
                <w:rFonts w:hint="eastAsia" w:ascii="宋体" w:hAnsi="宋体" w:cs="宋体"/>
                <w:sz w:val="21"/>
                <w:szCs w:val="22"/>
              </w:rPr>
              <w:sym w:font="Wingdings" w:char="00A8"/>
            </w:r>
            <w:r>
              <w:rPr>
                <w:rFonts w:hint="eastAsia" w:ascii="宋体" w:hAnsi="宋体" w:cs="宋体"/>
                <w:sz w:val="21"/>
                <w:szCs w:val="22"/>
              </w:rPr>
              <w:t xml:space="preserve">   专利  </w:t>
            </w:r>
            <w:r>
              <w:rPr>
                <w:rFonts w:hint="eastAsia" w:ascii="宋体" w:hAnsi="宋体" w:cs="宋体"/>
                <w:sz w:val="21"/>
                <w:szCs w:val="22"/>
              </w:rPr>
              <w:sym w:font="Wingdings" w:char="00FE"/>
            </w:r>
            <w:r>
              <w:rPr>
                <w:rFonts w:hint="eastAsia" w:ascii="宋体" w:hAnsi="宋体" w:cs="宋体"/>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680" w:type="dxa"/>
            <w:vMerge w:val="restart"/>
            <w:vAlign w:val="center"/>
          </w:tcPr>
          <w:p>
            <w:pPr>
              <w:pStyle w:val="3"/>
              <w:spacing w:line="240" w:lineRule="auto"/>
              <w:jc w:val="distribute"/>
              <w:rPr>
                <w:rFonts w:ascii="宋体" w:hAnsi="宋体" w:cs="宋体"/>
                <w:b/>
                <w:sz w:val="21"/>
              </w:rPr>
            </w:pPr>
            <w:r>
              <w:rPr>
                <w:rFonts w:hint="eastAsia" w:ascii="宋体" w:hAnsi="宋体" w:cs="宋体"/>
                <w:b/>
                <w:sz w:val="21"/>
              </w:rPr>
              <w:t>知识产权形式</w:t>
            </w:r>
          </w:p>
        </w:tc>
        <w:tc>
          <w:tcPr>
            <w:tcW w:w="7950" w:type="dxa"/>
            <w:gridSpan w:val="6"/>
            <w:vAlign w:val="center"/>
          </w:tcPr>
          <w:p>
            <w:pPr>
              <w:pStyle w:val="3"/>
              <w:spacing w:line="240" w:lineRule="auto"/>
              <w:rPr>
                <w:rFonts w:ascii="宋体" w:hAnsi="宋体" w:cs="宋体"/>
                <w:sz w:val="21"/>
              </w:rPr>
            </w:pPr>
            <w:r>
              <w:rPr>
                <w:rFonts w:hint="eastAsia" w:ascii="宋体" w:hAnsi="宋体" w:cs="宋体"/>
                <w:sz w:val="28"/>
              </w:rPr>
              <w:t></w:t>
            </w:r>
            <w:r>
              <w:rPr>
                <w:rFonts w:hint="eastAsia" w:ascii="宋体" w:hAnsi="宋体" w:cs="宋体"/>
                <w:sz w:val="21"/>
              </w:rPr>
              <w:t>发明专利　</w:t>
            </w:r>
            <w:r>
              <w:rPr>
                <w:rFonts w:hint="eastAsia" w:ascii="宋体" w:hAnsi="宋体" w:cs="宋体"/>
                <w:sz w:val="21"/>
                <w:szCs w:val="22"/>
              </w:rPr>
              <w:sym w:font="Wingdings" w:char="00FE"/>
            </w:r>
            <w:r>
              <w:rPr>
                <w:rFonts w:hint="eastAsia" w:ascii="宋体" w:hAnsi="宋体" w:cs="宋体"/>
                <w:sz w:val="21"/>
              </w:rPr>
              <w:t>　　 实用新型专利　　</w:t>
            </w:r>
            <w:r>
              <w:rPr>
                <w:rFonts w:hint="eastAsia" w:ascii="宋体" w:hAnsi="宋体" w:cs="宋体"/>
                <w:sz w:val="28"/>
              </w:rPr>
              <w:t></w:t>
            </w:r>
            <w:r>
              <w:rPr>
                <w:rFonts w:hint="eastAsia" w:ascii="宋体" w:hAnsi="宋体" w:cs="宋体"/>
                <w:sz w:val="21"/>
              </w:rPr>
              <w:t>外观设计专利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680" w:type="dxa"/>
            <w:vMerge w:val="continue"/>
            <w:vAlign w:val="center"/>
          </w:tcPr>
          <w:p>
            <w:pPr>
              <w:pStyle w:val="3"/>
              <w:spacing w:line="240" w:lineRule="auto"/>
              <w:rPr>
                <w:rFonts w:ascii="宋体" w:hAnsi="宋体" w:cs="宋体"/>
                <w:b/>
                <w:sz w:val="21"/>
              </w:rPr>
            </w:pPr>
          </w:p>
        </w:tc>
        <w:tc>
          <w:tcPr>
            <w:tcW w:w="1919" w:type="dxa"/>
            <w:gridSpan w:val="2"/>
            <w:vAlign w:val="center"/>
          </w:tcPr>
          <w:p>
            <w:pPr>
              <w:pStyle w:val="3"/>
              <w:spacing w:line="240" w:lineRule="auto"/>
              <w:jc w:val="distribute"/>
              <w:rPr>
                <w:rFonts w:ascii="宋体" w:hAnsi="宋体" w:cs="宋体"/>
                <w:sz w:val="21"/>
              </w:rPr>
            </w:pPr>
            <w:r>
              <w:rPr>
                <w:rFonts w:hint="eastAsia" w:ascii="宋体" w:hAnsi="宋体" w:cs="宋体"/>
                <w:sz w:val="21"/>
              </w:rPr>
              <w:t>专利名称</w:t>
            </w:r>
          </w:p>
        </w:tc>
        <w:tc>
          <w:tcPr>
            <w:tcW w:w="6031" w:type="dxa"/>
            <w:gridSpan w:val="4"/>
            <w:vAlign w:val="center"/>
          </w:tcPr>
          <w:p>
            <w:pPr>
              <w:pStyle w:val="2"/>
              <w:widowControl/>
              <w:shd w:val="clear" w:color="auto" w:fill="FFFFFF"/>
              <w:spacing w:beforeAutospacing="0" w:afterAutospacing="0" w:line="350" w:lineRule="atLeast"/>
              <w:textAlignment w:val="center"/>
              <w:rPr>
                <w:rFonts w:cs="宋体"/>
                <w:szCs w:val="24"/>
              </w:rPr>
            </w:pPr>
            <w:r>
              <w:rPr>
                <w:rFonts w:cs="宋体"/>
                <w:b w:val="0"/>
                <w:bCs w:val="0"/>
                <w:kern w:val="2"/>
                <w:sz w:val="21"/>
                <w:szCs w:val="24"/>
                <w:highlight w:val="yellow"/>
              </w:rPr>
              <w:t>荔枝草总黄酮提取物的提取方法和用途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680" w:type="dxa"/>
            <w:vMerge w:val="continue"/>
            <w:vAlign w:val="center"/>
          </w:tcPr>
          <w:p>
            <w:pPr>
              <w:pStyle w:val="3"/>
              <w:spacing w:line="240" w:lineRule="auto"/>
              <w:rPr>
                <w:rFonts w:ascii="宋体" w:hAnsi="宋体" w:cs="宋体"/>
                <w:b/>
                <w:sz w:val="21"/>
              </w:rPr>
            </w:pPr>
          </w:p>
        </w:tc>
        <w:tc>
          <w:tcPr>
            <w:tcW w:w="1919" w:type="dxa"/>
            <w:gridSpan w:val="2"/>
            <w:vAlign w:val="center"/>
          </w:tcPr>
          <w:p>
            <w:pPr>
              <w:pStyle w:val="3"/>
              <w:spacing w:line="240" w:lineRule="auto"/>
              <w:jc w:val="distribute"/>
              <w:rPr>
                <w:rFonts w:ascii="宋体" w:hAnsi="宋体" w:cs="宋体"/>
                <w:sz w:val="21"/>
              </w:rPr>
            </w:pPr>
            <w:r>
              <w:rPr>
                <w:rFonts w:hint="eastAsia" w:ascii="宋体" w:hAnsi="宋体" w:cs="宋体"/>
                <w:sz w:val="21"/>
              </w:rPr>
              <w:t>专利号</w:t>
            </w:r>
          </w:p>
        </w:tc>
        <w:tc>
          <w:tcPr>
            <w:tcW w:w="6031" w:type="dxa"/>
            <w:gridSpan w:val="4"/>
            <w:vAlign w:val="center"/>
          </w:tcPr>
          <w:p>
            <w:pPr>
              <w:widowControl/>
              <w:spacing w:line="360" w:lineRule="auto"/>
              <w:ind w:right="74"/>
              <w:jc w:val="left"/>
              <w:rPr>
                <w:rFonts w:ascii="宋体" w:hAnsi="宋体" w:eastAsia="宋体" w:cs="宋体"/>
                <w:szCs w:val="24"/>
              </w:rPr>
            </w:pPr>
            <w:r>
              <w:rPr>
                <w:rFonts w:hint="eastAsia" w:ascii="宋体" w:hAnsi="宋体" w:eastAsia="宋体" w:cs="宋体"/>
                <w:szCs w:val="24"/>
                <w:highlight w:val="yellow"/>
              </w:rPr>
              <w:t>CN201210174265.4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630" w:type="dxa"/>
            <w:gridSpan w:val="7"/>
            <w:vAlign w:val="center"/>
          </w:tcPr>
          <w:p>
            <w:pPr>
              <w:pStyle w:val="3"/>
              <w:spacing w:line="240" w:lineRule="auto"/>
              <w:jc w:val="center"/>
              <w:rPr>
                <w:rFonts w:ascii="宋体" w:hAnsi="宋体" w:cs="宋体"/>
                <w:b/>
                <w:sz w:val="21"/>
              </w:rPr>
            </w:pPr>
            <w:r>
              <w:rPr>
                <w:rFonts w:hint="eastAsia" w:ascii="宋体" w:hAnsi="宋体" w:cs="宋体"/>
                <w:b/>
                <w:bCs/>
                <w:sz w:val="21"/>
              </w:rPr>
              <w:t>项 目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680" w:type="dxa"/>
            <w:vMerge w:val="restart"/>
            <w:vAlign w:val="center"/>
          </w:tcPr>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rPr>
                <w:rFonts w:ascii="宋体" w:hAnsi="宋体" w:cs="宋体"/>
                <w:b/>
                <w:sz w:val="21"/>
              </w:rPr>
            </w:pPr>
          </w:p>
          <w:p>
            <w:pPr>
              <w:pStyle w:val="3"/>
              <w:spacing w:line="240" w:lineRule="auto"/>
              <w:jc w:val="center"/>
              <w:rPr>
                <w:rFonts w:ascii="宋体" w:hAnsi="宋体" w:cs="宋体"/>
                <w:b/>
                <w:sz w:val="21"/>
              </w:rPr>
            </w:pPr>
          </w:p>
          <w:p>
            <w:pPr>
              <w:pStyle w:val="3"/>
              <w:spacing w:line="240" w:lineRule="auto"/>
              <w:jc w:val="center"/>
              <w:rPr>
                <w:rFonts w:ascii="宋体" w:hAnsi="宋体" w:cs="宋体"/>
                <w:b/>
                <w:sz w:val="21"/>
              </w:rPr>
            </w:pPr>
          </w:p>
          <w:p>
            <w:pPr>
              <w:pStyle w:val="3"/>
              <w:spacing w:line="240" w:lineRule="auto"/>
              <w:jc w:val="center"/>
              <w:rPr>
                <w:rFonts w:ascii="宋体" w:hAnsi="宋体" w:cs="宋体"/>
                <w:b/>
                <w:sz w:val="21"/>
              </w:rPr>
            </w:pPr>
          </w:p>
          <w:p>
            <w:pPr>
              <w:pStyle w:val="3"/>
              <w:spacing w:line="240" w:lineRule="auto"/>
              <w:jc w:val="center"/>
              <w:rPr>
                <w:rFonts w:ascii="宋体" w:hAnsi="宋体" w:cs="宋体"/>
                <w:b/>
                <w:sz w:val="21"/>
              </w:rPr>
            </w:pPr>
            <w:r>
              <w:rPr>
                <w:rFonts w:hint="eastAsia" w:ascii="宋体" w:hAnsi="宋体" w:cs="宋体"/>
                <w:b/>
                <w:sz w:val="21"/>
              </w:rPr>
              <w:t>项目基本情况</w:t>
            </w:r>
          </w:p>
        </w:tc>
        <w:tc>
          <w:tcPr>
            <w:tcW w:w="1381" w:type="dxa"/>
            <w:vAlign w:val="center"/>
          </w:tcPr>
          <w:p>
            <w:pPr>
              <w:pStyle w:val="3"/>
              <w:spacing w:line="240" w:lineRule="auto"/>
              <w:rPr>
                <w:rFonts w:ascii="宋体" w:hAnsi="宋体" w:cs="宋体"/>
                <w:sz w:val="21"/>
                <w:szCs w:val="22"/>
              </w:rPr>
            </w:pPr>
            <w:r>
              <w:rPr>
                <w:rFonts w:hint="eastAsia" w:ascii="宋体" w:hAnsi="宋体" w:cs="宋体"/>
                <w:sz w:val="21"/>
                <w:szCs w:val="22"/>
              </w:rPr>
              <w:t>项 目 类 别</w:t>
            </w:r>
          </w:p>
        </w:tc>
        <w:tc>
          <w:tcPr>
            <w:tcW w:w="6569" w:type="dxa"/>
            <w:gridSpan w:val="5"/>
            <w:vAlign w:val="center"/>
          </w:tcPr>
          <w:p>
            <w:pPr>
              <w:pStyle w:val="3"/>
              <w:spacing w:line="240" w:lineRule="auto"/>
              <w:rPr>
                <w:rFonts w:ascii="宋体" w:hAnsi="宋体" w:cs="宋体"/>
                <w:b/>
                <w:sz w:val="21"/>
                <w:szCs w:val="22"/>
              </w:rPr>
            </w:pPr>
            <w:r>
              <w:rPr>
                <w:rFonts w:hint="eastAsia" w:ascii="宋体" w:hAnsi="宋体" w:cs="宋体"/>
                <w:b/>
                <w:sz w:val="21"/>
                <w:szCs w:val="22"/>
              </w:rPr>
              <w:t>中药创新药1.2类/治疗咽喉肿痛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80" w:type="dxa"/>
            <w:vMerge w:val="continue"/>
            <w:vAlign w:val="center"/>
          </w:tcPr>
          <w:p>
            <w:pPr>
              <w:pStyle w:val="3"/>
              <w:spacing w:line="240" w:lineRule="auto"/>
              <w:jc w:val="distribute"/>
              <w:rPr>
                <w:rFonts w:ascii="宋体" w:hAnsi="宋体" w:cs="宋体"/>
                <w:b/>
                <w:sz w:val="21"/>
              </w:rPr>
            </w:pPr>
          </w:p>
        </w:tc>
        <w:tc>
          <w:tcPr>
            <w:tcW w:w="1381" w:type="dxa"/>
            <w:vAlign w:val="center"/>
          </w:tcPr>
          <w:p>
            <w:pPr>
              <w:pStyle w:val="3"/>
              <w:spacing w:line="240" w:lineRule="auto"/>
              <w:rPr>
                <w:rFonts w:ascii="宋体" w:hAnsi="宋体" w:cs="宋体"/>
                <w:sz w:val="21"/>
                <w:szCs w:val="22"/>
              </w:rPr>
            </w:pPr>
            <w:r>
              <w:rPr>
                <w:rFonts w:hint="eastAsia" w:ascii="宋体" w:hAnsi="宋体" w:cs="宋体"/>
                <w:sz w:val="21"/>
                <w:szCs w:val="22"/>
              </w:rPr>
              <w:t>依 托 单 位</w:t>
            </w:r>
          </w:p>
        </w:tc>
        <w:tc>
          <w:tcPr>
            <w:tcW w:w="6569" w:type="dxa"/>
            <w:gridSpan w:val="5"/>
            <w:vAlign w:val="center"/>
          </w:tcPr>
          <w:p>
            <w:pPr>
              <w:pStyle w:val="3"/>
              <w:spacing w:line="240" w:lineRule="auto"/>
              <w:rPr>
                <w:rFonts w:ascii="宋体" w:hAnsi="宋体" w:cs="宋体" w:eastAsiaTheme="minorEastAsia"/>
                <w:sz w:val="21"/>
                <w:szCs w:val="22"/>
              </w:rPr>
            </w:pPr>
            <w:r>
              <w:rPr>
                <w:rFonts w:hint="eastAsia" w:ascii="宋体" w:hAnsi="宋体" w:cs="宋体" w:eastAsiaTheme="minorEastAsia"/>
                <w:sz w:val="21"/>
                <w:szCs w:val="22"/>
              </w:rPr>
              <w:t>南京中医药大学药学院，江苏省经典名方工程研究中心。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680" w:type="dxa"/>
            <w:vMerge w:val="continue"/>
            <w:vAlign w:val="center"/>
          </w:tcPr>
          <w:p>
            <w:pPr>
              <w:pStyle w:val="3"/>
              <w:spacing w:line="240" w:lineRule="auto"/>
              <w:jc w:val="distribute"/>
              <w:rPr>
                <w:rFonts w:ascii="宋体" w:hAnsi="宋体" w:cs="宋体"/>
                <w:b/>
                <w:sz w:val="21"/>
              </w:rPr>
            </w:pPr>
          </w:p>
        </w:tc>
        <w:tc>
          <w:tcPr>
            <w:tcW w:w="1381" w:type="dxa"/>
            <w:vAlign w:val="center"/>
          </w:tcPr>
          <w:p>
            <w:pPr>
              <w:pStyle w:val="3"/>
              <w:spacing w:before="100" w:beforeAutospacing="1" w:after="100" w:afterAutospacing="1"/>
              <w:jc w:val="distribute"/>
              <w:rPr>
                <w:rFonts w:ascii="宋体" w:hAnsi="宋体" w:cs="宋体"/>
                <w:sz w:val="21"/>
              </w:rPr>
            </w:pPr>
            <w:r>
              <w:rPr>
                <w:rFonts w:hint="eastAsia" w:ascii="宋体" w:hAnsi="宋体" w:cs="宋体"/>
                <w:sz w:val="21"/>
              </w:rPr>
              <w:t>项目负责人简介</w:t>
            </w:r>
          </w:p>
        </w:tc>
        <w:tc>
          <w:tcPr>
            <w:tcW w:w="6569" w:type="dxa"/>
            <w:gridSpan w:val="5"/>
            <w:vAlign w:val="center"/>
          </w:tcPr>
          <w:p>
            <w:pPr>
              <w:spacing w:line="360" w:lineRule="auto"/>
              <w:ind w:firstLine="420" w:firstLineChars="200"/>
              <w:rPr>
                <w:rFonts w:ascii="宋体" w:hAnsi="宋体" w:cs="宋体"/>
              </w:rPr>
            </w:pPr>
            <w:r>
              <w:rPr>
                <w:rFonts w:hint="eastAsia" w:ascii="宋体" w:hAnsi="宋体" w:cs="宋体"/>
              </w:rPr>
              <w:t xml:space="preserve">程建明，男，中药学博士，南京中医药大学药学院教授，江苏省经典名方工程研究中心主任。兼任国家新药审评专家，中国中药协会中药经典名方研发与生产专业委员会副主任委员，世界中医药联合会中药保健品专业委员会副会长，江苏省中医药学会新药开发专业委员会副主任委员，南京市药学会中药专委会副主任委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1680" w:type="dxa"/>
            <w:vMerge w:val="continue"/>
            <w:vAlign w:val="center"/>
          </w:tcPr>
          <w:p>
            <w:pPr>
              <w:pStyle w:val="3"/>
              <w:spacing w:line="240" w:lineRule="auto"/>
              <w:jc w:val="distribute"/>
              <w:rPr>
                <w:rFonts w:ascii="宋体" w:hAnsi="宋体" w:cs="宋体"/>
                <w:b/>
                <w:sz w:val="21"/>
              </w:rPr>
            </w:pPr>
          </w:p>
        </w:tc>
        <w:tc>
          <w:tcPr>
            <w:tcW w:w="1381" w:type="dxa"/>
            <w:vAlign w:val="center"/>
          </w:tcPr>
          <w:p>
            <w:pPr>
              <w:pStyle w:val="3"/>
              <w:spacing w:before="100" w:beforeAutospacing="1" w:after="100" w:afterAutospacing="1"/>
              <w:jc w:val="distribute"/>
              <w:rPr>
                <w:rFonts w:ascii="宋体" w:hAnsi="宋体" w:cs="宋体"/>
                <w:sz w:val="21"/>
              </w:rPr>
            </w:pPr>
            <w:r>
              <w:rPr>
                <w:rFonts w:hint="eastAsia" w:ascii="宋体" w:hAnsi="宋体" w:cs="宋体"/>
                <w:sz w:val="21"/>
              </w:rPr>
              <w:t>成果简介</w:t>
            </w:r>
          </w:p>
        </w:tc>
        <w:tc>
          <w:tcPr>
            <w:tcW w:w="6569" w:type="dxa"/>
            <w:gridSpan w:val="5"/>
            <w:vAlign w:val="center"/>
          </w:tcPr>
          <w:p>
            <w:pPr>
              <w:spacing w:line="360" w:lineRule="auto"/>
              <w:ind w:firstLine="440" w:firstLineChars="200"/>
              <w:rPr>
                <w:rFonts w:ascii="宋体" w:hAnsi="宋体" w:cs="宋体"/>
              </w:rPr>
            </w:pPr>
            <w:r>
              <w:rPr>
                <w:rFonts w:hint="eastAsia"/>
                <w:sz w:val="22"/>
              </w:rPr>
              <w:t>本</w:t>
            </w:r>
            <w:r>
              <w:rPr>
                <w:rFonts w:hint="eastAsia" w:ascii="宋体" w:hAnsi="宋体" w:cs="宋体"/>
              </w:rPr>
              <w:t>产品选用荔枝草单味药材，经过提取、浓缩、精制等现代制药工艺，富集荔枝草中总黄酮类成分，研制而成的中药创新药，具有</w:t>
            </w:r>
            <w:r>
              <w:rPr>
                <w:rFonts w:ascii="宋体" w:hAnsi="宋体" w:cs="宋体"/>
              </w:rPr>
              <w:t>清热解毒、</w:t>
            </w:r>
            <w:r>
              <w:rPr>
                <w:rFonts w:hint="eastAsia" w:ascii="宋体" w:hAnsi="宋体" w:cs="宋体"/>
              </w:rPr>
              <w:t>凉血散瘀、利水消肿的</w:t>
            </w:r>
            <w:r>
              <w:rPr>
                <w:rFonts w:ascii="宋体" w:hAnsi="宋体" w:cs="宋体"/>
              </w:rPr>
              <w:t>功能，适用于</w:t>
            </w:r>
            <w:r>
              <w:rPr>
                <w:rFonts w:hint="eastAsia" w:ascii="宋体" w:hAnsi="宋体" w:cs="宋体"/>
              </w:rPr>
              <w:t>缓解急、慢性咽炎引起的口干咽燥、咽喉肿痛及吞咽不利等病症。</w:t>
            </w:r>
            <w:r>
              <w:rPr>
                <w:rFonts w:ascii="宋体" w:hAnsi="宋体" w:cs="宋体"/>
              </w:rPr>
              <w:t>采用正交设计法</w:t>
            </w:r>
            <w:r>
              <w:rPr>
                <w:rFonts w:hint="eastAsia" w:ascii="宋体" w:hAnsi="宋体" w:cs="宋体"/>
              </w:rPr>
              <w:t>和</w:t>
            </w:r>
            <w:r>
              <w:rPr>
                <w:rFonts w:ascii="宋体" w:hAnsi="宋体" w:cs="宋体"/>
              </w:rPr>
              <w:t>Box-Behnken响应面法，优化</w:t>
            </w:r>
            <w:r>
              <w:rPr>
                <w:rFonts w:hint="eastAsia" w:ascii="宋体" w:hAnsi="宋体" w:cs="宋体"/>
              </w:rPr>
              <w:t>荔枝草含片水提醇沉</w:t>
            </w:r>
            <w:r>
              <w:rPr>
                <w:rFonts w:ascii="宋体" w:hAnsi="宋体" w:cs="宋体"/>
              </w:rPr>
              <w:t>工艺</w:t>
            </w:r>
            <w:r>
              <w:rPr>
                <w:rFonts w:hint="eastAsia" w:ascii="宋体" w:hAnsi="宋体" w:cs="宋体"/>
              </w:rPr>
              <w:t>参数</w:t>
            </w:r>
            <w:r>
              <w:rPr>
                <w:rFonts w:ascii="宋体" w:hAnsi="宋体" w:cs="宋体"/>
              </w:rPr>
              <w:t>；以有效成分</w:t>
            </w:r>
            <w:r>
              <w:rPr>
                <w:rFonts w:hint="eastAsia" w:ascii="宋体" w:hAnsi="宋体" w:cs="宋体"/>
              </w:rPr>
              <w:t>转移率</w:t>
            </w:r>
            <w:r>
              <w:rPr>
                <w:rFonts w:ascii="宋体" w:hAnsi="宋体" w:cs="宋体"/>
              </w:rPr>
              <w:t>和</w:t>
            </w:r>
            <w:r>
              <w:rPr>
                <w:rFonts w:hint="eastAsia" w:ascii="宋体" w:hAnsi="宋体" w:cs="宋体"/>
              </w:rPr>
              <w:t>固含量/</w:t>
            </w:r>
            <w:r>
              <w:rPr>
                <w:rFonts w:ascii="宋体" w:hAnsi="宋体" w:cs="宋体"/>
              </w:rPr>
              <w:t>除杂率为考察指标</w:t>
            </w:r>
            <w:r>
              <w:rPr>
                <w:rFonts w:hint="eastAsia" w:ascii="宋体" w:hAnsi="宋体" w:cs="宋体"/>
              </w:rPr>
              <w:t>；</w:t>
            </w:r>
            <w:r>
              <w:rPr>
                <w:rFonts w:ascii="宋体" w:hAnsi="宋体" w:cs="宋体"/>
              </w:rPr>
              <w:t>以</w:t>
            </w:r>
            <w:r>
              <w:rPr>
                <w:rFonts w:hint="eastAsia" w:ascii="宋体" w:hAnsi="宋体" w:cs="宋体"/>
              </w:rPr>
              <w:t>含片的口感</w:t>
            </w:r>
            <w:r>
              <w:rPr>
                <w:rFonts w:ascii="宋体" w:hAnsi="宋体" w:cs="宋体"/>
              </w:rPr>
              <w:t>、</w:t>
            </w:r>
            <w:r>
              <w:rPr>
                <w:rFonts w:hint="eastAsia" w:ascii="宋体" w:hAnsi="宋体" w:cs="宋体"/>
              </w:rPr>
              <w:t>外观</w:t>
            </w:r>
            <w:r>
              <w:rPr>
                <w:rFonts w:ascii="宋体" w:hAnsi="宋体" w:cs="宋体"/>
              </w:rPr>
              <w:t>、</w:t>
            </w:r>
            <w:r>
              <w:rPr>
                <w:rFonts w:hint="eastAsia" w:ascii="宋体" w:hAnsi="宋体" w:cs="宋体"/>
              </w:rPr>
              <w:t>崩解时限</w:t>
            </w:r>
            <w:r>
              <w:rPr>
                <w:rFonts w:ascii="宋体" w:hAnsi="宋体" w:cs="宋体"/>
              </w:rPr>
              <w:t>为评价指标，优化</w:t>
            </w:r>
            <w:r>
              <w:rPr>
                <w:rFonts w:hint="eastAsia" w:ascii="宋体" w:hAnsi="宋体" w:cs="宋体"/>
              </w:rPr>
              <w:t>荔枝草含片</w:t>
            </w:r>
            <w:r>
              <w:rPr>
                <w:rFonts w:ascii="宋体" w:hAnsi="宋体" w:cs="宋体"/>
              </w:rPr>
              <w:t>的成型工艺</w:t>
            </w:r>
            <w:r>
              <w:rPr>
                <w:rFonts w:hint="eastAsia" w:ascii="宋体" w:hAnsi="宋体" w:cs="宋体"/>
              </w:rPr>
              <w:t>；</w:t>
            </w:r>
            <w:r>
              <w:rPr>
                <w:rFonts w:ascii="宋体" w:hAnsi="宋体" w:cs="宋体"/>
              </w:rPr>
              <w:t>采用</w:t>
            </w:r>
            <w:r>
              <w:rPr>
                <w:rFonts w:hint="eastAsia" w:ascii="宋体" w:hAnsi="宋体" w:cs="宋体"/>
              </w:rPr>
              <w:t>T</w:t>
            </w:r>
            <w:r>
              <w:rPr>
                <w:rFonts w:ascii="宋体" w:hAnsi="宋体" w:cs="宋体"/>
              </w:rPr>
              <w:t>LC对</w:t>
            </w:r>
            <w:r>
              <w:rPr>
                <w:rFonts w:hint="eastAsia" w:ascii="宋体" w:hAnsi="宋体" w:cs="宋体"/>
              </w:rPr>
              <w:t>荔枝草含片进行</w:t>
            </w:r>
            <w:r>
              <w:rPr>
                <w:rFonts w:ascii="宋体" w:hAnsi="宋体" w:cs="宋体"/>
              </w:rPr>
              <w:t>定性鉴别，采用HPLC</w:t>
            </w:r>
            <w:r>
              <w:rPr>
                <w:rFonts w:hint="eastAsia" w:ascii="宋体" w:hAnsi="宋体" w:cs="宋体"/>
              </w:rPr>
              <w:t>及分光光度</w:t>
            </w:r>
            <w:r>
              <w:rPr>
                <w:rFonts w:ascii="宋体" w:hAnsi="宋体" w:cs="宋体"/>
              </w:rPr>
              <w:t>的方法测定</w:t>
            </w:r>
            <w:r>
              <w:rPr>
                <w:rFonts w:hint="eastAsia" w:ascii="宋体" w:hAnsi="宋体" w:cs="宋体"/>
              </w:rPr>
              <w:t>了高车前苷</w:t>
            </w:r>
            <w:r>
              <w:rPr>
                <w:rFonts w:ascii="宋体" w:hAnsi="宋体" w:cs="宋体"/>
              </w:rPr>
              <w:t>和</w:t>
            </w:r>
            <w:r>
              <w:rPr>
                <w:rFonts w:hint="eastAsia" w:ascii="宋体" w:hAnsi="宋体" w:cs="宋体"/>
              </w:rPr>
              <w:t>总黄酮的含量。经初步药理实验研究发现，采用大鼠急性咽炎及小鼠耳肿胀模型，本产品通过口服可明显减轻小鼠耳肿胀度及肿胀百分率，显著降低血清中的炎症因子PGE2、IL-6、IL-1β、TNF-α的含量，降低咽部组织中炎症细胞浸润数量，缓解组织间质充血现象。说明荔枝草含片对咽喉组织等其它炎症现象均有较好的改善。</w:t>
            </w:r>
          </w:p>
          <w:p>
            <w:pPr>
              <w:tabs>
                <w:tab w:val="left" w:pos="8306"/>
              </w:tabs>
              <w:autoSpaceDE w:val="0"/>
              <w:autoSpaceDN w:val="0"/>
              <w:adjustRightInd w:val="0"/>
              <w:spacing w:line="460" w:lineRule="exact"/>
              <w:ind w:right="26" w:firstLine="420" w:firstLineChars="200"/>
              <w:jc w:val="left"/>
              <w:rPr>
                <w:rFonts w:ascii="宋体" w:hAnsi="宋体" w:cs="宋体"/>
              </w:rPr>
            </w:pPr>
            <w:r>
              <w:rPr>
                <w:rFonts w:hint="eastAsia" w:ascii="宋体" w:hAnsi="宋体" w:cs="宋体"/>
              </w:rPr>
              <w:t xml:space="preserve">根据临床用药特点和药味性质，采用现代制剂工艺将其研制成含片，并已经申报国家发明专利。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80" w:type="dxa"/>
            <w:vMerge w:val="continue"/>
            <w:vAlign w:val="center"/>
          </w:tcPr>
          <w:p>
            <w:pPr>
              <w:pStyle w:val="3"/>
              <w:spacing w:line="240" w:lineRule="auto"/>
              <w:jc w:val="distribute"/>
              <w:rPr>
                <w:rFonts w:ascii="宋体" w:hAnsi="宋体" w:cs="宋体"/>
                <w:b/>
                <w:sz w:val="21"/>
              </w:rPr>
            </w:pPr>
          </w:p>
        </w:tc>
        <w:tc>
          <w:tcPr>
            <w:tcW w:w="1381" w:type="dxa"/>
            <w:vAlign w:val="center"/>
          </w:tcPr>
          <w:p>
            <w:pPr>
              <w:pStyle w:val="3"/>
              <w:spacing w:before="100" w:beforeAutospacing="1" w:after="100" w:afterAutospacing="1"/>
              <w:jc w:val="distribute"/>
              <w:rPr>
                <w:rFonts w:ascii="宋体" w:hAnsi="宋体" w:cs="宋体"/>
                <w:sz w:val="21"/>
              </w:rPr>
            </w:pPr>
            <w:r>
              <w:rPr>
                <w:rFonts w:hint="eastAsia" w:ascii="宋体" w:hAnsi="宋体" w:cs="宋体"/>
                <w:sz w:val="21"/>
              </w:rPr>
              <w:t>项目</w:t>
            </w:r>
            <w:r>
              <w:rPr>
                <w:rFonts w:ascii="宋体" w:hAnsi="宋体" w:cs="宋体"/>
                <w:sz w:val="21"/>
              </w:rPr>
              <w:t>特色</w:t>
            </w:r>
            <w:r>
              <w:rPr>
                <w:rFonts w:hint="eastAsia" w:ascii="宋体" w:hAnsi="宋体" w:cs="宋体"/>
                <w:sz w:val="21"/>
              </w:rPr>
              <w:t>与</w:t>
            </w:r>
            <w:r>
              <w:rPr>
                <w:rFonts w:ascii="宋体" w:hAnsi="宋体" w:cs="宋体"/>
                <w:sz w:val="21"/>
              </w:rPr>
              <w:t>优势</w:t>
            </w:r>
          </w:p>
        </w:tc>
        <w:tc>
          <w:tcPr>
            <w:tcW w:w="6569" w:type="dxa"/>
            <w:gridSpan w:val="5"/>
            <w:vAlign w:val="center"/>
          </w:tcPr>
          <w:p>
            <w:pPr>
              <w:widowControl/>
              <w:spacing w:line="360" w:lineRule="auto"/>
              <w:ind w:right="74" w:firstLine="420" w:firstLineChars="200"/>
              <w:jc w:val="left"/>
              <w:rPr>
                <w:rFonts w:ascii="宋体" w:hAnsi="宋体" w:cs="宋体"/>
              </w:rPr>
            </w:pPr>
            <w:r>
              <w:rPr>
                <w:rFonts w:hint="eastAsia" w:ascii="宋体" w:hAnsi="宋体" w:cs="宋体"/>
              </w:rPr>
              <w:t>本品系在用于治疗咽喉肿痛的民间经验方的基础上经现代药学研究制备而成的含片。荔枝草首载于《本草纲目》，用于治咽疗喉肿痛，到目前为止已有400多年应用历史，对咽炎有确切的疗效，且无毒副作用，可以长期服用。荔枝草药材价格低廉，生产成本较低。该项目的研制将会给咽炎患者带来福音，同时给企业带来巨大的经济效益，市场前景十分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80" w:type="dxa"/>
            <w:vMerge w:val="continue"/>
            <w:vAlign w:val="center"/>
          </w:tcPr>
          <w:p>
            <w:pPr>
              <w:pStyle w:val="3"/>
              <w:spacing w:line="240" w:lineRule="auto"/>
              <w:jc w:val="distribute"/>
              <w:rPr>
                <w:rFonts w:ascii="宋体" w:hAnsi="宋体" w:cs="宋体"/>
                <w:b/>
                <w:sz w:val="21"/>
              </w:rPr>
            </w:pPr>
          </w:p>
        </w:tc>
        <w:tc>
          <w:tcPr>
            <w:tcW w:w="1381" w:type="dxa"/>
            <w:vAlign w:val="center"/>
          </w:tcPr>
          <w:p>
            <w:pPr>
              <w:pStyle w:val="3"/>
              <w:spacing w:before="100" w:beforeAutospacing="1" w:after="100" w:afterAutospacing="1"/>
              <w:jc w:val="center"/>
              <w:rPr>
                <w:rFonts w:ascii="宋体" w:hAnsi="宋体" w:cs="宋体"/>
                <w:sz w:val="21"/>
                <w:highlight w:val="green"/>
              </w:rPr>
            </w:pPr>
            <w:r>
              <w:rPr>
                <w:rFonts w:hint="eastAsia" w:ascii="宋体" w:hAnsi="宋体" w:cs="宋体"/>
                <w:sz w:val="21"/>
              </w:rPr>
              <w:t>主要</w:t>
            </w:r>
            <w:r>
              <w:rPr>
                <w:rFonts w:ascii="宋体" w:hAnsi="宋体" w:cs="宋体"/>
                <w:sz w:val="21"/>
              </w:rPr>
              <w:t>功能与服用</w:t>
            </w:r>
            <w:r>
              <w:rPr>
                <w:rFonts w:hint="eastAsia" w:ascii="宋体" w:hAnsi="宋体" w:cs="宋体"/>
                <w:sz w:val="21"/>
              </w:rPr>
              <w:t>方法</w:t>
            </w:r>
          </w:p>
        </w:tc>
        <w:tc>
          <w:tcPr>
            <w:tcW w:w="6569" w:type="dxa"/>
            <w:gridSpan w:val="5"/>
            <w:vAlign w:val="center"/>
          </w:tcPr>
          <w:p>
            <w:pPr>
              <w:pStyle w:val="6"/>
              <w:spacing w:before="156" w:beforeLines="50" w:beforeAutospacing="0" w:after="156" w:afterLines="50" w:afterAutospacing="0" w:line="276" w:lineRule="auto"/>
              <w:jc w:val="both"/>
              <w:rPr>
                <w:rFonts w:cs="宋体" w:eastAsiaTheme="minorEastAsia"/>
                <w:color w:val="auto"/>
                <w:kern w:val="2"/>
                <w:sz w:val="21"/>
                <w:szCs w:val="22"/>
              </w:rPr>
            </w:pPr>
            <w:r>
              <w:rPr>
                <w:rFonts w:hint="eastAsia" w:cs="宋体" w:eastAsiaTheme="minorEastAsia"/>
                <w:color w:val="auto"/>
                <w:kern w:val="2"/>
                <w:sz w:val="21"/>
                <w:szCs w:val="22"/>
              </w:rPr>
              <w:t>功效：适用于缓解急、慢性咽炎引起的口干咽燥、咽喉肿痛及吞咽不利等病症。</w:t>
            </w:r>
          </w:p>
          <w:p>
            <w:pPr>
              <w:pStyle w:val="6"/>
              <w:spacing w:before="156" w:beforeLines="50" w:beforeAutospacing="0" w:after="156" w:afterLines="50" w:afterAutospacing="0" w:line="276" w:lineRule="auto"/>
              <w:jc w:val="both"/>
              <w:rPr>
                <w:rFonts w:asciiTheme="minorHAnsi" w:hAnsiTheme="minorHAnsi" w:eastAsiaTheme="minorEastAsia" w:cstheme="minorBidi"/>
                <w:color w:val="auto"/>
                <w:kern w:val="2"/>
                <w:sz w:val="22"/>
                <w:szCs w:val="22"/>
              </w:rPr>
            </w:pPr>
            <w:r>
              <w:rPr>
                <w:rFonts w:hint="eastAsia" w:cs="宋体" w:eastAsiaTheme="minorEastAsia"/>
                <w:color w:val="auto"/>
                <w:kern w:val="2"/>
                <w:sz w:val="21"/>
                <w:szCs w:val="22"/>
              </w:rPr>
              <w:t>服用方法：口服，一日3次，每次2粒。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80" w:type="dxa"/>
            <w:vMerge w:val="continue"/>
            <w:vAlign w:val="center"/>
          </w:tcPr>
          <w:p>
            <w:pPr>
              <w:pStyle w:val="3"/>
              <w:spacing w:line="240" w:lineRule="auto"/>
              <w:jc w:val="distribute"/>
              <w:rPr>
                <w:rFonts w:ascii="宋体" w:hAnsi="宋体" w:cs="宋体"/>
                <w:b/>
                <w:sz w:val="21"/>
              </w:rPr>
            </w:pPr>
          </w:p>
        </w:tc>
        <w:tc>
          <w:tcPr>
            <w:tcW w:w="1381" w:type="dxa"/>
            <w:vAlign w:val="center"/>
          </w:tcPr>
          <w:p>
            <w:pPr>
              <w:pStyle w:val="3"/>
              <w:spacing w:before="100" w:beforeAutospacing="1" w:after="100" w:afterAutospacing="1"/>
              <w:jc w:val="center"/>
              <w:rPr>
                <w:rFonts w:ascii="宋体" w:hAnsi="宋体" w:cs="宋体"/>
                <w:sz w:val="21"/>
                <w:highlight w:val="green"/>
              </w:rPr>
            </w:pPr>
            <w:r>
              <w:rPr>
                <w:rFonts w:hint="eastAsia" w:ascii="宋体" w:hAnsi="宋体" w:cs="宋体"/>
                <w:sz w:val="21"/>
              </w:rPr>
              <w:t>产品</w:t>
            </w:r>
            <w:r>
              <w:rPr>
                <w:rFonts w:ascii="宋体" w:hAnsi="宋体" w:cs="宋体"/>
                <w:sz w:val="21"/>
              </w:rPr>
              <w:t>包装</w:t>
            </w:r>
            <w:r>
              <w:rPr>
                <w:rFonts w:hint="eastAsia" w:ascii="宋体" w:hAnsi="宋体" w:cs="宋体"/>
                <w:sz w:val="21"/>
              </w:rPr>
              <w:t>规格（含</w:t>
            </w:r>
            <w:r>
              <w:rPr>
                <w:rFonts w:ascii="宋体" w:hAnsi="宋体" w:cs="宋体"/>
                <w:sz w:val="21"/>
              </w:rPr>
              <w:t>成本</w:t>
            </w:r>
            <w:r>
              <w:rPr>
                <w:rFonts w:hint="eastAsia" w:ascii="宋体" w:hAnsi="宋体" w:cs="宋体"/>
                <w:sz w:val="21"/>
              </w:rPr>
              <w:t>）</w:t>
            </w:r>
            <w:r>
              <w:rPr>
                <w:rFonts w:ascii="宋体" w:hAnsi="宋体" w:cs="宋体"/>
                <w:sz w:val="21"/>
              </w:rPr>
              <w:t>、价格及图片</w:t>
            </w:r>
            <w:r>
              <w:rPr>
                <w:rFonts w:hint="eastAsia" w:ascii="宋体" w:hAnsi="宋体" w:cs="宋体"/>
                <w:sz w:val="21"/>
              </w:rPr>
              <w:t>设计</w:t>
            </w:r>
          </w:p>
        </w:tc>
        <w:tc>
          <w:tcPr>
            <w:tcW w:w="6569" w:type="dxa"/>
            <w:gridSpan w:val="5"/>
            <w:vAlign w:val="center"/>
          </w:tcPr>
          <w:p>
            <w:pPr>
              <w:pStyle w:val="6"/>
              <w:spacing w:before="156" w:beforeLines="50" w:beforeAutospacing="0" w:after="156" w:afterLines="50" w:afterAutospacing="0" w:line="276" w:lineRule="auto"/>
              <w:jc w:val="both"/>
              <w:rPr>
                <w:rFonts w:cs="宋体" w:eastAsiaTheme="minorEastAsia"/>
                <w:color w:val="auto"/>
                <w:kern w:val="2"/>
                <w:sz w:val="21"/>
                <w:szCs w:val="22"/>
              </w:rPr>
            </w:pPr>
            <w:r>
              <w:rPr>
                <w:rFonts w:hint="eastAsia" w:cs="宋体" w:eastAsiaTheme="minorEastAsia"/>
                <w:color w:val="auto"/>
                <w:kern w:val="2"/>
                <w:sz w:val="21"/>
                <w:szCs w:val="22"/>
              </w:rPr>
              <w:t>包装规格：</w:t>
            </w:r>
            <w:r>
              <w:rPr>
                <w:rFonts w:cs="宋体" w:eastAsiaTheme="minorEastAsia"/>
                <w:color w:val="auto"/>
                <w:kern w:val="2"/>
                <w:sz w:val="21"/>
                <w:szCs w:val="22"/>
              </w:rPr>
              <w:t>5</w:t>
            </w:r>
            <w:r>
              <w:rPr>
                <w:rFonts w:hint="eastAsia" w:cs="宋体" w:eastAsiaTheme="minorEastAsia"/>
                <w:color w:val="auto"/>
                <w:kern w:val="2"/>
                <w:sz w:val="21"/>
                <w:szCs w:val="22"/>
              </w:rPr>
              <w:t>0粒/瓶，每片0.6g。</w:t>
            </w:r>
          </w:p>
          <w:p>
            <w:pPr>
              <w:pStyle w:val="6"/>
              <w:spacing w:before="156" w:beforeLines="50" w:beforeAutospacing="0" w:after="156" w:afterLines="50" w:afterAutospacing="0" w:line="276" w:lineRule="auto"/>
              <w:jc w:val="both"/>
              <w:rPr>
                <w:rFonts w:asciiTheme="minorHAnsi" w:hAnsiTheme="minorHAnsi" w:eastAsiaTheme="minorEastAsia" w:cstheme="minorBidi"/>
                <w:color w:val="auto"/>
                <w:kern w:val="2"/>
                <w:sz w:val="22"/>
                <w:szCs w:val="22"/>
              </w:rPr>
            </w:pPr>
            <w:r>
              <w:rPr>
                <w:rFonts w:hint="eastAsia" w:cs="宋体" w:eastAsiaTheme="minorEastAsia"/>
                <w:color w:val="auto"/>
                <w:kern w:val="2"/>
                <w:sz w:val="21"/>
                <w:szCs w:val="22"/>
              </w:rPr>
              <w:t>价格预估：每瓶30元。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80" w:type="dxa"/>
            <w:vMerge w:val="continue"/>
            <w:vAlign w:val="center"/>
          </w:tcPr>
          <w:p>
            <w:pPr>
              <w:pStyle w:val="3"/>
              <w:spacing w:line="240" w:lineRule="auto"/>
              <w:jc w:val="distribute"/>
              <w:rPr>
                <w:rFonts w:ascii="宋体" w:hAnsi="宋体" w:cs="宋体"/>
                <w:b/>
                <w:sz w:val="21"/>
              </w:rPr>
            </w:pPr>
          </w:p>
        </w:tc>
        <w:tc>
          <w:tcPr>
            <w:tcW w:w="1381" w:type="dxa"/>
            <w:vAlign w:val="center"/>
          </w:tcPr>
          <w:p>
            <w:pPr>
              <w:pStyle w:val="3"/>
              <w:spacing w:before="100" w:beforeAutospacing="1" w:after="100" w:afterAutospacing="1"/>
              <w:jc w:val="distribute"/>
              <w:rPr>
                <w:rFonts w:ascii="宋体" w:hAnsi="宋体" w:cs="宋体"/>
                <w:sz w:val="21"/>
              </w:rPr>
            </w:pPr>
            <w:r>
              <w:rPr>
                <w:rFonts w:hint="eastAsia" w:ascii="宋体" w:hAnsi="宋体" w:cs="宋体"/>
                <w:sz w:val="21"/>
              </w:rPr>
              <w:t>项目进展</w:t>
            </w:r>
          </w:p>
        </w:tc>
        <w:tc>
          <w:tcPr>
            <w:tcW w:w="6569" w:type="dxa"/>
            <w:gridSpan w:val="5"/>
            <w:vAlign w:val="center"/>
          </w:tcPr>
          <w:p>
            <w:pPr>
              <w:pStyle w:val="6"/>
              <w:spacing w:before="156" w:beforeLines="50" w:beforeAutospacing="0" w:after="156" w:afterLines="50" w:afterAutospacing="0" w:line="276" w:lineRule="auto"/>
              <w:jc w:val="both"/>
              <w:rPr>
                <w:rFonts w:ascii="Times New Roman" w:hAnsi="Times New Roman"/>
                <w:kern w:val="2"/>
                <w:sz w:val="21"/>
                <w:szCs w:val="21"/>
              </w:rPr>
            </w:pPr>
            <w:r>
              <w:rPr>
                <w:rFonts w:hint="eastAsia" w:asciiTheme="minorHAnsi" w:hAnsiTheme="minorHAnsi" w:eastAsiaTheme="minorEastAsia" w:cstheme="minorBidi"/>
                <w:color w:val="auto"/>
                <w:kern w:val="2"/>
                <w:sz w:val="22"/>
                <w:szCs w:val="22"/>
              </w:rPr>
              <w:t>目前已基本完成含片的配方、制备工艺、技术要求、初步功能评价及人用体验，</w:t>
            </w:r>
            <w:r>
              <w:rPr>
                <w:rFonts w:hint="eastAsia" w:asciiTheme="minorHAnsi" w:hAnsiTheme="minorHAnsi" w:eastAsiaTheme="minorEastAsia" w:cstheme="minorBidi"/>
                <w:color w:val="auto"/>
                <w:kern w:val="2"/>
                <w:sz w:val="22"/>
                <w:szCs w:val="22"/>
                <w:highlight w:val="yellow"/>
              </w:rPr>
              <w:t>预计2023年</w:t>
            </w:r>
            <w:r>
              <w:rPr>
                <w:rFonts w:asciiTheme="minorHAnsi" w:hAnsiTheme="minorHAnsi" w:eastAsiaTheme="minorEastAsia" w:cstheme="minorBidi"/>
                <w:color w:val="auto"/>
                <w:kern w:val="2"/>
                <w:sz w:val="22"/>
                <w:szCs w:val="22"/>
                <w:highlight w:val="yellow"/>
              </w:rPr>
              <w:t>1</w:t>
            </w:r>
            <w:r>
              <w:rPr>
                <w:rFonts w:hint="eastAsia" w:asciiTheme="minorHAnsi" w:hAnsiTheme="minorHAnsi" w:eastAsiaTheme="minorEastAsia" w:cstheme="minorBidi"/>
                <w:color w:val="auto"/>
                <w:kern w:val="2"/>
                <w:sz w:val="22"/>
                <w:szCs w:val="22"/>
                <w:highlight w:val="yellow"/>
              </w:rPr>
              <w:t>2月申报新药</w:t>
            </w:r>
            <w:r>
              <w:rPr>
                <w:rFonts w:asciiTheme="minorHAnsi" w:hAnsiTheme="minorHAnsi" w:eastAsiaTheme="minorEastAsia" w:cstheme="minorBidi"/>
                <w:color w:val="auto"/>
                <w:kern w:val="2"/>
                <w:sz w:val="22"/>
                <w:szCs w:val="22"/>
                <w:highlight w:val="yellow"/>
              </w:rPr>
              <w:t>临床许可</w:t>
            </w:r>
            <w:r>
              <w:rPr>
                <w:rFonts w:hint="eastAsia" w:ascii="Times New Roman" w:hAnsi="Times New Roman"/>
                <w:kern w:val="2"/>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680" w:type="dxa"/>
            <w:tcBorders>
              <w:bottom w:val="single" w:color="auto" w:sz="4" w:space="0"/>
            </w:tcBorders>
            <w:vAlign w:val="center"/>
          </w:tcPr>
          <w:p>
            <w:pPr>
              <w:pStyle w:val="3"/>
              <w:jc w:val="distribute"/>
              <w:rPr>
                <w:rFonts w:ascii="宋体" w:hAnsi="宋体" w:cs="宋体"/>
                <w:b/>
                <w:sz w:val="21"/>
              </w:rPr>
            </w:pPr>
            <w:r>
              <w:rPr>
                <w:rFonts w:hint="eastAsia" w:ascii="宋体" w:hAnsi="宋体" w:cs="宋体"/>
                <w:b/>
                <w:sz w:val="21"/>
              </w:rPr>
              <w:t>应用前景</w:t>
            </w:r>
          </w:p>
        </w:tc>
        <w:tc>
          <w:tcPr>
            <w:tcW w:w="7950" w:type="dxa"/>
            <w:gridSpan w:val="6"/>
            <w:tcBorders>
              <w:bottom w:val="single" w:color="auto" w:sz="4" w:space="0"/>
            </w:tcBorders>
            <w:vAlign w:val="center"/>
          </w:tcPr>
          <w:p>
            <w:pPr>
              <w:widowControl/>
              <w:spacing w:line="360" w:lineRule="auto"/>
              <w:ind w:right="74" w:firstLine="480"/>
              <w:jc w:val="left"/>
              <w:rPr>
                <w:sz w:val="22"/>
              </w:rPr>
            </w:pPr>
            <w:r>
              <w:rPr>
                <w:rFonts w:hint="eastAsia"/>
                <w:sz w:val="22"/>
              </w:rPr>
              <w:t>咽炎为咽部黏膜、黏膜下及淋巴组织的炎症，常为上呼吸道炎症的一部分，属中医“喉痹”范畴。当今社会竞争压力大，生活节奏快，情绪紧张，空气污染，烟酒熬夜，过食辛辣煎炸食物、有害气体的刺激及长期张口呼吸、鼻涕后流等因素，均可导致或加重本病，故其发病率有明显增高之势。中医学认为，咽喉乃十二经脉循行和聚汇的要冲，通过经络与五脏六腑相联系。因此，脏腑功能失调，常循经上扰，影响咽喉，而发诸疴。研究表明咽部菌群紊乱以及病毒感染在咽炎发病中同样起着重要作用。治疗前应进行细菌学检查，避免因滥用抗菌药物造成无效或菌群失调。目前治疗咽炎多采用外治法如微波治疗、激光局部照射治疗、超声雾化吸入治疗、穴位注射治疗、针刺治疗和中西药物治疗等。长期、反复使用抗生素可能导致咽喉部正常菌群失调，会引起细菌抗药性加强，人体免疫功能减退，致使病情反复难愈。</w:t>
            </w:r>
          </w:p>
          <w:p>
            <w:pPr>
              <w:widowControl/>
              <w:spacing w:line="360" w:lineRule="auto"/>
              <w:ind w:right="74" w:firstLine="480"/>
              <w:jc w:val="left"/>
              <w:rPr>
                <w:sz w:val="22"/>
              </w:rPr>
            </w:pPr>
            <w:r>
              <w:rPr>
                <w:sz w:val="22"/>
              </w:rPr>
              <w:t>基于荔枝草主要用于治疗咽喉部位炎症的药效特点，本研究将荔枝草制备成含片，直接作用于咽喉部位，快速且持续发挥抗炎、抑菌等药效作用。经过提取纯化后尽可能保留有效物质再进行制剂制备，可减少患者的日服剂量。含片对于咽喉肿痛、吞咽不便的咽炎患者来说，服用方便，见效快，利于临床应用的推广</w:t>
            </w:r>
            <w:r>
              <w:rPr>
                <w:rFonts w:hint="eastAsia"/>
                <w:sz w:val="22"/>
              </w:rPr>
              <w:t>。</w:t>
            </w:r>
          </w:p>
          <w:p>
            <w:pPr>
              <w:widowControl/>
              <w:spacing w:line="360" w:lineRule="auto"/>
              <w:ind w:right="74" w:firstLine="480"/>
              <w:jc w:val="left"/>
              <w:rPr>
                <w:sz w:val="22"/>
              </w:rPr>
            </w:pPr>
            <w:r>
              <w:rPr>
                <w:rFonts w:hint="eastAsia"/>
                <w:sz w:val="22"/>
              </w:rPr>
              <w:t>因此，本产品创新性地将单味药材做成一种见效快的中药剂型，在治疗咽喉肿痛方面效果显著，特别适用于缓解急、慢性咽炎引起的口干咽燥、咽喉肿痛及吞咽不利等病症。相较于抗生素类药物，具有疗效可靠、副作用小、性价比高等优势，可产生显著的社会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680" w:type="dxa"/>
            <w:vAlign w:val="center"/>
          </w:tcPr>
          <w:p>
            <w:pPr>
              <w:pStyle w:val="3"/>
              <w:spacing w:line="240" w:lineRule="auto"/>
              <w:jc w:val="distribute"/>
              <w:rPr>
                <w:rFonts w:ascii="宋体" w:hAnsi="宋体" w:cs="宋体"/>
                <w:b/>
                <w:sz w:val="21"/>
              </w:rPr>
            </w:pPr>
            <w:r>
              <w:rPr>
                <w:rFonts w:hint="eastAsia" w:ascii="宋体" w:hAnsi="宋体" w:cs="宋体"/>
                <w:b/>
                <w:sz w:val="21"/>
              </w:rPr>
              <w:t>转让或合作</w:t>
            </w:r>
          </w:p>
          <w:p>
            <w:pPr>
              <w:pStyle w:val="3"/>
              <w:spacing w:line="240" w:lineRule="auto"/>
              <w:jc w:val="distribute"/>
              <w:rPr>
                <w:rFonts w:ascii="宋体" w:hAnsi="宋体" w:cs="宋体"/>
                <w:b/>
                <w:sz w:val="21"/>
              </w:rPr>
            </w:pPr>
            <w:r>
              <w:rPr>
                <w:rFonts w:hint="eastAsia" w:ascii="宋体" w:hAnsi="宋体" w:cs="宋体"/>
                <w:b/>
                <w:sz w:val="21"/>
              </w:rPr>
              <w:t>方式</w:t>
            </w:r>
          </w:p>
        </w:tc>
        <w:tc>
          <w:tcPr>
            <w:tcW w:w="1919" w:type="dxa"/>
            <w:gridSpan w:val="2"/>
            <w:vAlign w:val="center"/>
          </w:tcPr>
          <w:p>
            <w:pPr>
              <w:pStyle w:val="3"/>
              <w:spacing w:line="240" w:lineRule="auto"/>
              <w:jc w:val="distribute"/>
              <w:rPr>
                <w:rFonts w:ascii="宋体" w:hAnsi="宋体" w:cs="宋体"/>
                <w:sz w:val="21"/>
              </w:rPr>
            </w:pPr>
            <w:r>
              <w:rPr>
                <w:rFonts w:hint="eastAsia" w:ascii="宋体" w:hAnsi="宋体" w:cs="宋体"/>
                <w:sz w:val="21"/>
              </w:rPr>
              <w:t>建议合作方式</w:t>
            </w:r>
          </w:p>
        </w:tc>
        <w:tc>
          <w:tcPr>
            <w:tcW w:w="6031" w:type="dxa"/>
            <w:gridSpan w:val="4"/>
            <w:vAlign w:val="center"/>
          </w:tcPr>
          <w:p>
            <w:pPr>
              <w:spacing w:line="520" w:lineRule="exact"/>
              <w:ind w:firstLine="440" w:firstLineChars="200"/>
              <w:rPr>
                <w:rFonts w:ascii="宋体" w:hAnsi="宋体" w:cs="宋体"/>
              </w:rPr>
            </w:pPr>
            <w:r>
              <w:rPr>
                <w:rFonts w:hint="eastAsia"/>
                <w:sz w:val="22"/>
              </w:rPr>
              <w:t>合作开发</w:t>
            </w:r>
            <w:r>
              <w:rPr>
                <w:rFonts w:hint="eastAsia"/>
                <w:sz w:val="22"/>
              </w:rPr>
              <w:sym w:font="Wingdings" w:char="00FE"/>
            </w:r>
            <w:r>
              <w:rPr>
                <w:rFonts w:hint="eastAsia"/>
                <w:sz w:val="22"/>
              </w:rPr>
              <w:t xml:space="preserve">   </w:t>
            </w:r>
            <w:r>
              <w:rPr>
                <w:sz w:val="22"/>
              </w:rPr>
              <w:t xml:space="preserve">  </w:t>
            </w:r>
            <w:r>
              <w:rPr>
                <w:rFonts w:hint="eastAsia"/>
                <w:sz w:val="22"/>
              </w:rPr>
              <w:t xml:space="preserve"> 一次性</w:t>
            </w:r>
            <w:r>
              <w:rPr>
                <w:sz w:val="22"/>
              </w:rPr>
              <w:t>转让</w:t>
            </w:r>
            <w:r>
              <w:rPr>
                <w:rFonts w:hint="eastAsia"/>
                <w:sz w:val="22"/>
              </w:rPr>
              <w:t xml:space="preserve">   </w:t>
            </w:r>
            <w:r>
              <w:rPr>
                <w:sz w:val="22"/>
              </w:rPr>
              <w:t xml:space="preserve">  </w:t>
            </w:r>
            <w:r>
              <w:rPr>
                <w:rFonts w:hint="eastAsia"/>
                <w:sz w:val="22"/>
              </w:rPr>
              <w:t>其他</w:t>
            </w:r>
            <w:r>
              <w:rPr>
                <w:rFonts w:hint="eastAsia" w:ascii="宋体" w:hAnsi="宋体" w:cs="宋体"/>
              </w:rPr>
              <w:t xml:space="preserve">  </w:t>
            </w:r>
          </w:p>
        </w:tc>
      </w:tr>
    </w:tbl>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xZDgxMzI2ZDZkNWYxODY3NTRmMDZiOGVmNDk2MGUifQ=="/>
    <w:docVar w:name="KSO_WPS_MARK_KEY" w:val="ec8aa3be-0df3-4304-89e5-254f9f7befdf"/>
  </w:docVars>
  <w:rsids>
    <w:rsidRoot w:val="00D81150"/>
    <w:rsid w:val="00012C44"/>
    <w:rsid w:val="000266E0"/>
    <w:rsid w:val="000454AB"/>
    <w:rsid w:val="0005350E"/>
    <w:rsid w:val="00065B30"/>
    <w:rsid w:val="00065E37"/>
    <w:rsid w:val="00094857"/>
    <w:rsid w:val="000B3405"/>
    <w:rsid w:val="0010224B"/>
    <w:rsid w:val="001107C8"/>
    <w:rsid w:val="00142EB5"/>
    <w:rsid w:val="001718EC"/>
    <w:rsid w:val="001932CD"/>
    <w:rsid w:val="001D1784"/>
    <w:rsid w:val="00213450"/>
    <w:rsid w:val="00221423"/>
    <w:rsid w:val="00240DA5"/>
    <w:rsid w:val="0027478D"/>
    <w:rsid w:val="002B2883"/>
    <w:rsid w:val="0030433C"/>
    <w:rsid w:val="0034122E"/>
    <w:rsid w:val="003455DA"/>
    <w:rsid w:val="00356204"/>
    <w:rsid w:val="00374347"/>
    <w:rsid w:val="003A336C"/>
    <w:rsid w:val="003B407D"/>
    <w:rsid w:val="003F721F"/>
    <w:rsid w:val="004549D9"/>
    <w:rsid w:val="004700F0"/>
    <w:rsid w:val="00472A72"/>
    <w:rsid w:val="00490C1B"/>
    <w:rsid w:val="004D4653"/>
    <w:rsid w:val="004F6089"/>
    <w:rsid w:val="00545705"/>
    <w:rsid w:val="00545DE5"/>
    <w:rsid w:val="005E3B7C"/>
    <w:rsid w:val="005F6483"/>
    <w:rsid w:val="00601C35"/>
    <w:rsid w:val="00624ACD"/>
    <w:rsid w:val="006475FD"/>
    <w:rsid w:val="00662B76"/>
    <w:rsid w:val="00662D37"/>
    <w:rsid w:val="00663E05"/>
    <w:rsid w:val="0067576C"/>
    <w:rsid w:val="00690EC0"/>
    <w:rsid w:val="00696971"/>
    <w:rsid w:val="006A55C9"/>
    <w:rsid w:val="00705784"/>
    <w:rsid w:val="00732040"/>
    <w:rsid w:val="0076589C"/>
    <w:rsid w:val="0077648E"/>
    <w:rsid w:val="007801D2"/>
    <w:rsid w:val="00783767"/>
    <w:rsid w:val="0078654D"/>
    <w:rsid w:val="007B1956"/>
    <w:rsid w:val="007E19D2"/>
    <w:rsid w:val="007E2D52"/>
    <w:rsid w:val="0084292A"/>
    <w:rsid w:val="008604A3"/>
    <w:rsid w:val="008732EC"/>
    <w:rsid w:val="008C5FF8"/>
    <w:rsid w:val="008D1CC1"/>
    <w:rsid w:val="00912B43"/>
    <w:rsid w:val="009314F3"/>
    <w:rsid w:val="009472C7"/>
    <w:rsid w:val="009474A8"/>
    <w:rsid w:val="00971497"/>
    <w:rsid w:val="0097691E"/>
    <w:rsid w:val="009A5084"/>
    <w:rsid w:val="009B251C"/>
    <w:rsid w:val="009C405B"/>
    <w:rsid w:val="009D4BC3"/>
    <w:rsid w:val="009E1A97"/>
    <w:rsid w:val="009F451D"/>
    <w:rsid w:val="009F47B7"/>
    <w:rsid w:val="00A03C6C"/>
    <w:rsid w:val="00A1597C"/>
    <w:rsid w:val="00A54FE1"/>
    <w:rsid w:val="00A762F7"/>
    <w:rsid w:val="00AB7498"/>
    <w:rsid w:val="00AE40DB"/>
    <w:rsid w:val="00B155B4"/>
    <w:rsid w:val="00B81AB2"/>
    <w:rsid w:val="00B83D42"/>
    <w:rsid w:val="00B913EA"/>
    <w:rsid w:val="00B97A4A"/>
    <w:rsid w:val="00BE6F93"/>
    <w:rsid w:val="00C032A0"/>
    <w:rsid w:val="00C5119D"/>
    <w:rsid w:val="00C7224C"/>
    <w:rsid w:val="00C92781"/>
    <w:rsid w:val="00C928DB"/>
    <w:rsid w:val="00CB26DB"/>
    <w:rsid w:val="00CC05D1"/>
    <w:rsid w:val="00CC5614"/>
    <w:rsid w:val="00CD32B4"/>
    <w:rsid w:val="00CD4350"/>
    <w:rsid w:val="00CE081C"/>
    <w:rsid w:val="00CE2569"/>
    <w:rsid w:val="00D16B1B"/>
    <w:rsid w:val="00D24B4A"/>
    <w:rsid w:val="00D42B43"/>
    <w:rsid w:val="00D62CEA"/>
    <w:rsid w:val="00D81150"/>
    <w:rsid w:val="00DB0971"/>
    <w:rsid w:val="00DB3087"/>
    <w:rsid w:val="00DD403F"/>
    <w:rsid w:val="00DF35B1"/>
    <w:rsid w:val="00E20210"/>
    <w:rsid w:val="00E42F31"/>
    <w:rsid w:val="00E50C2F"/>
    <w:rsid w:val="00E70218"/>
    <w:rsid w:val="00EA39A6"/>
    <w:rsid w:val="00ED7370"/>
    <w:rsid w:val="00F01040"/>
    <w:rsid w:val="00F06318"/>
    <w:rsid w:val="00F400C8"/>
    <w:rsid w:val="00F770EE"/>
    <w:rsid w:val="00F84AC2"/>
    <w:rsid w:val="00F84C5B"/>
    <w:rsid w:val="00F95049"/>
    <w:rsid w:val="00FA0050"/>
    <w:rsid w:val="00FA07E2"/>
    <w:rsid w:val="00FD63F1"/>
    <w:rsid w:val="00FF0534"/>
    <w:rsid w:val="00FF7F0A"/>
    <w:rsid w:val="0E9953A0"/>
    <w:rsid w:val="135F0966"/>
    <w:rsid w:val="13775217"/>
    <w:rsid w:val="17DB58EB"/>
    <w:rsid w:val="18BC5F12"/>
    <w:rsid w:val="19D8374C"/>
    <w:rsid w:val="1DE71C83"/>
    <w:rsid w:val="1F54245C"/>
    <w:rsid w:val="212B6550"/>
    <w:rsid w:val="33C148CD"/>
    <w:rsid w:val="34A511A6"/>
    <w:rsid w:val="3D421C50"/>
    <w:rsid w:val="3F523222"/>
    <w:rsid w:val="464608BD"/>
    <w:rsid w:val="4E592F55"/>
    <w:rsid w:val="51313C4E"/>
    <w:rsid w:val="61850469"/>
    <w:rsid w:val="62BE3C02"/>
    <w:rsid w:val="65255C4F"/>
    <w:rsid w:val="6C117498"/>
    <w:rsid w:val="6C220DAA"/>
    <w:rsid w:val="6EDF2E44"/>
    <w:rsid w:val="7B42766E"/>
    <w:rsid w:val="7CEF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99"/>
    <w:pPr>
      <w:spacing w:line="360" w:lineRule="auto"/>
    </w:pPr>
    <w:rPr>
      <w:rFonts w:ascii="Times New Roman" w:hAnsi="Times New Roman" w:eastAsia="宋体" w:cs="Times New Roman"/>
      <w:sz w:val="24"/>
      <w:szCs w:val="24"/>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character" w:styleId="9">
    <w:name w:val="Hyperlink"/>
    <w:basedOn w:val="8"/>
    <w:qFormat/>
    <w:uiPriority w:val="0"/>
    <w:rPr>
      <w:color w:val="0000FF"/>
      <w:u w:val="single"/>
    </w:rPr>
  </w:style>
  <w:style w:type="character" w:customStyle="1" w:styleId="10">
    <w:name w:val="正文文本 字符"/>
    <w:basedOn w:val="8"/>
    <w:link w:val="3"/>
    <w:qFormat/>
    <w:uiPriority w:val="99"/>
    <w:rPr>
      <w:rFonts w:ascii="Times New Roman" w:hAnsi="Times New Roman" w:eastAsia="宋体" w:cs="Times New Roman"/>
      <w:sz w:val="24"/>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kern w:val="2"/>
      <w:sz w:val="18"/>
      <w:szCs w:val="18"/>
    </w:rPr>
  </w:style>
  <w:style w:type="character" w:customStyle="1" w:styleId="13">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289</Words>
  <Characters>1650</Characters>
  <Lines>13</Lines>
  <Paragraphs>3</Paragraphs>
  <TotalTime>12</TotalTime>
  <ScaleCrop>false</ScaleCrop>
  <LinksUpToDate>false</LinksUpToDate>
  <CharactersWithSpaces>1936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2022-12-01T02:53:00Z</dcterms:created>
  <dc:creator>Microsoft Office User</dc:creator>
  <cp:lastModifiedBy>a-live</cp:lastModifiedBy>
  <dcterms:modified xsi:type="dcterms:W3CDTF">2023-11-21T06:55:22Z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FE23823AF2BC4AAE9C0053946296B14D_13</vt:lpwstr>
  </property>
</Properties>
</file>