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南京中医药大学</w:t>
      </w:r>
    </w:p>
    <w:p>
      <w:pPr>
        <w:pStyle w:val="2"/>
        <w:spacing w:line="24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可供转化或合作的科技成果信息表</w:t>
      </w:r>
    </w:p>
    <w:p>
      <w:pPr>
        <w:pStyle w:val="2"/>
        <w:spacing w:line="240" w:lineRule="auto"/>
        <w:jc w:val="center"/>
        <w:rPr>
          <w:rFonts w:eastAsia="黑体"/>
          <w:sz w:val="21"/>
        </w:rPr>
      </w:pPr>
    </w:p>
    <w:tbl>
      <w:tblPr>
        <w:tblStyle w:val="6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381"/>
        <w:gridCol w:w="538"/>
        <w:gridCol w:w="1231"/>
        <w:gridCol w:w="1470"/>
        <w:gridCol w:w="1096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80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</w:rPr>
              <w:t>项目名称</w:t>
            </w:r>
          </w:p>
        </w:tc>
        <w:tc>
          <w:tcPr>
            <w:tcW w:w="7950" w:type="dxa"/>
            <w:gridSpan w:val="6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复方纳豆激酶胶囊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80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</w:rPr>
              <w:t>项目负责人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pStyle w:val="2"/>
              <w:spacing w:line="240" w:lineRule="auto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程建明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承担单位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南京中医药大学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联系方式</w:t>
            </w:r>
          </w:p>
        </w:tc>
        <w:tc>
          <w:tcPr>
            <w:tcW w:w="2234" w:type="dxa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嵇晶/13951835384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680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</w:rPr>
              <w:t>知识产权状况</w:t>
            </w:r>
          </w:p>
        </w:tc>
        <w:tc>
          <w:tcPr>
            <w:tcW w:w="7950" w:type="dxa"/>
            <w:gridSpan w:val="6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8"/>
              </w:rPr>
              <w:t></w:t>
            </w:r>
            <w:r>
              <w:rPr>
                <w:rFonts w:hint="eastAsia" w:ascii="宋体" w:hAnsi="宋体" w:cs="宋体"/>
                <w:sz w:val="21"/>
                <w:szCs w:val="22"/>
              </w:rPr>
              <w:t>新药证书　  临床批件保健食品</w:t>
            </w:r>
            <w:r>
              <w:rPr>
                <w:rFonts w:ascii="宋体" w:hAnsi="宋体" w:cs="宋体"/>
                <w:sz w:val="21"/>
                <w:szCs w:val="22"/>
              </w:rPr>
              <w:t>证书</w:t>
            </w:r>
            <w:r>
              <w:rPr>
                <w:rFonts w:hint="eastAsia" w:ascii="宋体" w:hAnsi="宋体" w:cs="宋体"/>
                <w:sz w:val="21"/>
                <w:szCs w:val="22"/>
              </w:rPr>
              <w:t xml:space="preserve">   功能性</w:t>
            </w:r>
            <w:r>
              <w:rPr>
                <w:rFonts w:ascii="宋体" w:hAnsi="宋体" w:cs="宋体"/>
                <w:sz w:val="21"/>
                <w:szCs w:val="22"/>
              </w:rPr>
              <w:t>食品</w:t>
            </w:r>
            <w:r>
              <w:rPr>
                <w:rFonts w:hint="eastAsia" w:ascii="宋体" w:hAnsi="宋体" w:cs="宋体"/>
                <w:sz w:val="21"/>
                <w:szCs w:val="22"/>
              </w:rPr>
              <w:sym w:font="Wingdings" w:char="00FE"/>
            </w:r>
            <w:r>
              <w:rPr>
                <w:rFonts w:hint="eastAsia" w:ascii="宋体" w:hAnsi="宋体" w:cs="宋体"/>
                <w:sz w:val="21"/>
                <w:szCs w:val="22"/>
              </w:rPr>
              <w:t xml:space="preserve">   专利  </w:t>
            </w:r>
            <w:r>
              <w:rPr>
                <w:rFonts w:hint="eastAsia" w:ascii="宋体" w:hAnsi="宋体" w:cs="宋体"/>
                <w:sz w:val="21"/>
                <w:szCs w:val="22"/>
              </w:rPr>
              <w:sym w:font="Wingdings" w:char="00FE"/>
            </w:r>
            <w:r>
              <w:rPr>
                <w:rFonts w:hint="eastAsia" w:ascii="宋体" w:hAnsi="宋体" w:cs="宋体"/>
                <w:sz w:val="21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680" w:type="dxa"/>
            <w:vMerge w:val="restart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</w:rPr>
              <w:t>知识产权形式</w:t>
            </w:r>
          </w:p>
        </w:tc>
        <w:tc>
          <w:tcPr>
            <w:tcW w:w="7950" w:type="dxa"/>
            <w:gridSpan w:val="6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8"/>
              </w:rPr>
              <w:t></w:t>
            </w:r>
            <w:r>
              <w:rPr>
                <w:rFonts w:hint="eastAsia" w:ascii="宋体" w:hAnsi="宋体" w:cs="宋体"/>
                <w:sz w:val="21"/>
              </w:rPr>
              <w:t>发明专利　</w:t>
            </w:r>
            <w:r>
              <w:rPr>
                <w:rFonts w:hint="eastAsia" w:ascii="宋体" w:hAnsi="宋体" w:cs="宋体"/>
                <w:sz w:val="21"/>
                <w:szCs w:val="22"/>
              </w:rPr>
              <w:sym w:font="Wingdings" w:char="00FE"/>
            </w:r>
            <w:r>
              <w:rPr>
                <w:rFonts w:hint="eastAsia" w:ascii="宋体" w:hAnsi="宋体" w:cs="宋体"/>
                <w:sz w:val="21"/>
              </w:rPr>
              <w:t>　　 实用新型专利　　</w:t>
            </w:r>
            <w:r>
              <w:rPr>
                <w:rFonts w:hint="eastAsia" w:ascii="宋体" w:hAnsi="宋体" w:cs="宋体"/>
                <w:sz w:val="28"/>
              </w:rPr>
              <w:t></w:t>
            </w:r>
            <w:r>
              <w:rPr>
                <w:rFonts w:hint="eastAsia" w:ascii="宋体" w:hAnsi="宋体" w:cs="宋体"/>
                <w:sz w:val="21"/>
              </w:rPr>
              <w:t>外观设计专利　　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b/>
                <w:sz w:val="21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专利名称</w:t>
            </w:r>
          </w:p>
        </w:tc>
        <w:tc>
          <w:tcPr>
            <w:tcW w:w="6031" w:type="dxa"/>
            <w:gridSpan w:val="4"/>
            <w:vAlign w:val="center"/>
          </w:tcPr>
          <w:p>
            <w:pPr>
              <w:widowControl/>
              <w:spacing w:before="156" w:beforeLines="50" w:after="156" w:afterLines="50" w:line="276" w:lineRule="auto"/>
              <w:jc w:val="left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一种去除血管斑块的中药组合物及其制备方法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b/>
                <w:sz w:val="21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专利号</w:t>
            </w:r>
          </w:p>
        </w:tc>
        <w:tc>
          <w:tcPr>
            <w:tcW w:w="6031" w:type="dxa"/>
            <w:gridSpan w:val="4"/>
            <w:vAlign w:val="center"/>
          </w:tcPr>
          <w:p>
            <w:pPr>
              <w:widowControl/>
              <w:spacing w:before="156" w:beforeLines="50" w:after="156" w:afterLines="50"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CN202210851240.7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630" w:type="dxa"/>
            <w:gridSpan w:val="7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</w:rPr>
              <w:t>项 目 简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680" w:type="dxa"/>
            <w:vMerge w:val="restart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b/>
                <w:sz w:val="21"/>
              </w:rPr>
            </w:pPr>
          </w:p>
          <w:p>
            <w:pPr>
              <w:pStyle w:val="2"/>
              <w:spacing w:line="240" w:lineRule="auto"/>
              <w:rPr>
                <w:rFonts w:ascii="宋体" w:hAnsi="宋体" w:cs="宋体"/>
                <w:b/>
                <w:sz w:val="21"/>
              </w:rPr>
            </w:pPr>
          </w:p>
          <w:p>
            <w:pPr>
              <w:pStyle w:val="2"/>
              <w:spacing w:line="240" w:lineRule="auto"/>
              <w:rPr>
                <w:rFonts w:ascii="宋体" w:hAnsi="宋体" w:cs="宋体"/>
                <w:b/>
                <w:sz w:val="21"/>
              </w:rPr>
            </w:pPr>
          </w:p>
          <w:p>
            <w:pPr>
              <w:pStyle w:val="2"/>
              <w:spacing w:line="240" w:lineRule="auto"/>
              <w:rPr>
                <w:rFonts w:ascii="宋体" w:hAnsi="宋体" w:cs="宋体"/>
                <w:b/>
                <w:sz w:val="21"/>
              </w:rPr>
            </w:pPr>
          </w:p>
          <w:p>
            <w:pPr>
              <w:pStyle w:val="2"/>
              <w:spacing w:line="240" w:lineRule="auto"/>
              <w:rPr>
                <w:rFonts w:ascii="宋体" w:hAnsi="宋体" w:cs="宋体"/>
                <w:b/>
                <w:sz w:val="21"/>
              </w:rPr>
            </w:pPr>
          </w:p>
          <w:p>
            <w:pPr>
              <w:pStyle w:val="2"/>
              <w:spacing w:line="240" w:lineRule="auto"/>
              <w:rPr>
                <w:rFonts w:ascii="宋体" w:hAnsi="宋体" w:cs="宋体"/>
                <w:b/>
                <w:sz w:val="21"/>
              </w:rPr>
            </w:pPr>
          </w:p>
          <w:p>
            <w:pPr>
              <w:pStyle w:val="2"/>
              <w:spacing w:line="240" w:lineRule="auto"/>
              <w:rPr>
                <w:rFonts w:ascii="宋体" w:hAnsi="宋体" w:cs="宋体"/>
                <w:b/>
                <w:sz w:val="21"/>
              </w:rPr>
            </w:pPr>
          </w:p>
          <w:p>
            <w:pPr>
              <w:pStyle w:val="2"/>
              <w:spacing w:line="240" w:lineRule="auto"/>
              <w:rPr>
                <w:rFonts w:ascii="宋体" w:hAnsi="宋体" w:cs="宋体"/>
                <w:b/>
                <w:sz w:val="21"/>
              </w:rPr>
            </w:pPr>
          </w:p>
          <w:p>
            <w:pPr>
              <w:pStyle w:val="2"/>
              <w:spacing w:line="240" w:lineRule="auto"/>
              <w:rPr>
                <w:rFonts w:ascii="宋体" w:hAnsi="宋体" w:cs="宋体"/>
                <w:b/>
                <w:sz w:val="21"/>
              </w:rPr>
            </w:pPr>
          </w:p>
          <w:p>
            <w:pPr>
              <w:pStyle w:val="2"/>
              <w:spacing w:line="240" w:lineRule="auto"/>
              <w:rPr>
                <w:rFonts w:ascii="宋体" w:hAnsi="宋体" w:cs="宋体"/>
                <w:b/>
                <w:sz w:val="21"/>
              </w:rPr>
            </w:pPr>
          </w:p>
          <w:p>
            <w:pPr>
              <w:pStyle w:val="2"/>
              <w:spacing w:line="240" w:lineRule="auto"/>
              <w:rPr>
                <w:rFonts w:ascii="宋体" w:hAnsi="宋体" w:cs="宋体"/>
                <w:b/>
                <w:sz w:val="21"/>
              </w:rPr>
            </w:pPr>
          </w:p>
          <w:p>
            <w:pPr>
              <w:pStyle w:val="2"/>
              <w:spacing w:line="240" w:lineRule="auto"/>
              <w:rPr>
                <w:rFonts w:ascii="宋体" w:hAnsi="宋体" w:cs="宋体"/>
                <w:b/>
                <w:sz w:val="21"/>
              </w:rPr>
            </w:pPr>
          </w:p>
          <w:p>
            <w:pPr>
              <w:pStyle w:val="2"/>
              <w:spacing w:line="240" w:lineRule="auto"/>
              <w:rPr>
                <w:rFonts w:ascii="宋体" w:hAnsi="宋体" w:cs="宋体"/>
                <w:b/>
                <w:sz w:val="21"/>
              </w:rPr>
            </w:pPr>
          </w:p>
          <w:p>
            <w:pPr>
              <w:pStyle w:val="2"/>
              <w:spacing w:line="240" w:lineRule="auto"/>
              <w:rPr>
                <w:rFonts w:ascii="宋体" w:hAnsi="宋体" w:cs="宋体"/>
                <w:b/>
                <w:sz w:val="21"/>
              </w:rPr>
            </w:pPr>
          </w:p>
          <w:p>
            <w:pPr>
              <w:pStyle w:val="2"/>
              <w:spacing w:line="240" w:lineRule="auto"/>
              <w:rPr>
                <w:rFonts w:ascii="宋体" w:hAnsi="宋体" w:cs="宋体"/>
                <w:b/>
                <w:sz w:val="21"/>
              </w:rPr>
            </w:pPr>
          </w:p>
          <w:p>
            <w:pPr>
              <w:pStyle w:val="2"/>
              <w:spacing w:line="240" w:lineRule="auto"/>
              <w:rPr>
                <w:rFonts w:ascii="宋体" w:hAnsi="宋体" w:cs="宋体"/>
                <w:b/>
                <w:sz w:val="21"/>
              </w:rPr>
            </w:pPr>
          </w:p>
          <w:p>
            <w:pPr>
              <w:pStyle w:val="2"/>
              <w:spacing w:line="240" w:lineRule="auto"/>
              <w:rPr>
                <w:rFonts w:ascii="宋体" w:hAnsi="宋体" w:cs="宋体"/>
                <w:b/>
                <w:sz w:val="21"/>
              </w:rPr>
            </w:pPr>
          </w:p>
          <w:p>
            <w:pPr>
              <w:pStyle w:val="2"/>
              <w:spacing w:line="240" w:lineRule="auto"/>
              <w:rPr>
                <w:rFonts w:ascii="宋体" w:hAnsi="宋体" w:cs="宋体"/>
                <w:b/>
                <w:sz w:val="21"/>
              </w:rPr>
            </w:pPr>
          </w:p>
          <w:p>
            <w:pPr>
              <w:pStyle w:val="2"/>
              <w:spacing w:line="240" w:lineRule="auto"/>
              <w:jc w:val="center"/>
              <w:rPr>
                <w:rFonts w:ascii="宋体" w:hAnsi="宋体" w:cs="宋体"/>
                <w:b/>
                <w:sz w:val="21"/>
              </w:rPr>
            </w:pPr>
          </w:p>
          <w:p>
            <w:pPr>
              <w:pStyle w:val="2"/>
              <w:spacing w:line="240" w:lineRule="auto"/>
              <w:jc w:val="center"/>
              <w:rPr>
                <w:rFonts w:ascii="宋体" w:hAnsi="宋体" w:cs="宋体"/>
                <w:b/>
                <w:sz w:val="21"/>
              </w:rPr>
            </w:pPr>
          </w:p>
          <w:p>
            <w:pPr>
              <w:pStyle w:val="2"/>
              <w:spacing w:line="240" w:lineRule="auto"/>
              <w:jc w:val="center"/>
              <w:rPr>
                <w:rFonts w:ascii="宋体" w:hAnsi="宋体" w:cs="宋体"/>
                <w:b/>
                <w:sz w:val="21"/>
              </w:rPr>
            </w:pPr>
          </w:p>
          <w:p>
            <w:pPr>
              <w:pStyle w:val="2"/>
              <w:spacing w:line="240" w:lineRule="auto"/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</w:rPr>
              <w:t>项目基本情况</w:t>
            </w:r>
          </w:p>
        </w:tc>
        <w:tc>
          <w:tcPr>
            <w:tcW w:w="1381" w:type="dxa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项 目 类 别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b/>
                <w:sz w:val="21"/>
                <w:szCs w:val="22"/>
              </w:rPr>
            </w:pPr>
            <w:r>
              <w:rPr>
                <w:rFonts w:hint="eastAsia" w:ascii="宋体" w:hAnsi="宋体" w:cs="宋体"/>
                <w:b/>
                <w:sz w:val="21"/>
                <w:szCs w:val="22"/>
              </w:rPr>
              <w:t>功能性</w:t>
            </w:r>
            <w:r>
              <w:rPr>
                <w:rFonts w:ascii="宋体" w:hAnsi="宋体" w:cs="宋体"/>
                <w:b/>
                <w:sz w:val="21"/>
                <w:szCs w:val="22"/>
              </w:rPr>
              <w:t>食品</w:t>
            </w:r>
            <w:r>
              <w:rPr>
                <w:rFonts w:hint="eastAsia" w:ascii="宋体" w:hAnsi="宋体" w:cs="宋体"/>
                <w:b/>
                <w:sz w:val="21"/>
                <w:szCs w:val="22"/>
              </w:rPr>
              <w:t>/消除</w:t>
            </w:r>
            <w:r>
              <w:rPr>
                <w:rFonts w:ascii="宋体" w:hAnsi="宋体" w:cs="宋体"/>
                <w:b/>
                <w:sz w:val="21"/>
                <w:szCs w:val="22"/>
              </w:rPr>
              <w:t>血管斑块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b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依 托 单 位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南京中医药大学药学院，</w:t>
            </w:r>
            <w:r>
              <w:rPr>
                <w:rFonts w:ascii="宋体" w:hAnsi="宋体" w:cs="宋体"/>
                <w:sz w:val="21"/>
                <w:szCs w:val="22"/>
              </w:rPr>
              <w:t>江苏省经典名方工程研究中心</w:t>
            </w:r>
            <w:r>
              <w:rPr>
                <w:rFonts w:hint="eastAsia" w:ascii="宋体" w:hAnsi="宋体" w:cs="宋体"/>
                <w:sz w:val="21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b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before="100" w:beforeAutospacing="1" w:after="100" w:afterAutospacing="1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项目负责人简介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widowControl/>
              <w:spacing w:before="156" w:beforeLines="50" w:after="156" w:afterLines="50" w:line="276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程建明，男，中药学博士，</w:t>
            </w:r>
            <w:r>
              <w:rPr>
                <w:rFonts w:ascii="宋体" w:hAnsi="宋体" w:cs="宋体"/>
              </w:rPr>
              <w:t>南京中医药大学药学院教授，江苏省经典名方工程研究中心主任。兼任国家新药审评专家，中国中药协会中药经典名方研发与生产专业委员会副主任委员，世界中医药联合会中药保健品专业委员会副会长，江苏省中医药学会新药开发专业委员会副主任委员，南京市药学会</w:t>
            </w:r>
            <w:r>
              <w:rPr>
                <w:rFonts w:hint="eastAsia" w:ascii="宋体" w:hAnsi="宋体" w:cs="宋体"/>
              </w:rPr>
              <w:t>中</w:t>
            </w:r>
            <w:r>
              <w:rPr>
                <w:rFonts w:ascii="宋体" w:hAnsi="宋体" w:cs="宋体"/>
              </w:rPr>
              <w:t>药专委会副主任委员。</w:t>
            </w:r>
            <w:r>
              <w:rPr>
                <w:rFonts w:hint="eastAsia"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b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before="100" w:beforeAutospacing="1" w:after="100" w:afterAutospacing="1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成果简介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spacing w:line="460" w:lineRule="exact"/>
              <w:ind w:right="26" w:firstLine="44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/>
                <w:sz w:val="22"/>
              </w:rPr>
              <w:t>本产品配方选用药食同源的葛根、山楂等中药，经过提取、浓缩、精制等步骤，最终与纳豆激酶</w:t>
            </w:r>
            <w:r>
              <w:rPr>
                <w:rFonts w:ascii="宋体" w:hAnsi="宋体" w:cs="宋体"/>
              </w:rPr>
              <w:t>配伍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/>
                <w:sz w:val="22"/>
              </w:rPr>
              <w:t>制成制剂，</w:t>
            </w:r>
            <w:r>
              <w:rPr>
                <w:rFonts w:hint="eastAsia" w:ascii="宋体" w:hAnsi="宋体" w:cs="宋体"/>
              </w:rPr>
              <w:t>具有</w:t>
            </w:r>
            <w:r>
              <w:rPr>
                <w:rFonts w:ascii="宋体" w:hAnsi="宋体" w:cs="宋体"/>
              </w:rPr>
              <w:t>清热解毒、滋补肝肾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ascii="宋体" w:hAnsi="宋体" w:cs="宋体"/>
              </w:rPr>
              <w:t>活血化瘀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功能，适用于肝肾阴虚型的老年颈动脉粥样硬化形成的斑块。</w:t>
            </w:r>
            <w:r>
              <w:rPr>
                <w:rFonts w:hint="eastAsia" w:ascii="宋体" w:hAnsi="宋体" w:cs="宋体"/>
              </w:rPr>
              <w:t>实验研究发现，本产品通过口服</w:t>
            </w:r>
            <w:r>
              <w:rPr>
                <w:rFonts w:ascii="宋体" w:hAnsi="宋体" w:cs="宋体"/>
              </w:rPr>
              <w:t>可减小IMT</w:t>
            </w:r>
            <w:r>
              <w:rPr>
                <w:rFonts w:hint="eastAsia" w:ascii="宋体" w:hAnsi="宋体" w:cs="宋体"/>
              </w:rPr>
              <w:t>（颈动脉内-中膜厚度）</w:t>
            </w:r>
            <w:r>
              <w:rPr>
                <w:rFonts w:ascii="宋体" w:hAnsi="宋体" w:cs="宋体"/>
              </w:rPr>
              <w:t>和斑块面积，降低斑块 Crouse 积分，效果明显好于单独使用中药组合物或者纳豆激酶，说明中药组合物或者纳豆激酶配伍具有协同作用。</w:t>
            </w:r>
          </w:p>
          <w:p>
            <w:pPr>
              <w:tabs>
                <w:tab w:val="left" w:pos="8306"/>
              </w:tabs>
              <w:autoSpaceDE w:val="0"/>
              <w:autoSpaceDN w:val="0"/>
              <w:adjustRightInd w:val="0"/>
              <w:spacing w:line="460" w:lineRule="exact"/>
              <w:ind w:right="26"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根据临床用药特点和药味性质，采用现代制剂工艺将其研制成胶囊剂，并</w:t>
            </w:r>
            <w:r>
              <w:rPr>
                <w:rFonts w:hint="eastAsia"/>
                <w:sz w:val="22"/>
              </w:rPr>
              <w:t>已经申报国家发明专利</w:t>
            </w:r>
            <w:r>
              <w:rPr>
                <w:rFonts w:hint="eastAsia" w:ascii="宋体" w:hAnsi="宋体" w:cs="宋体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b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before="100" w:beforeAutospacing="1" w:after="100" w:afterAutospacing="1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项目</w:t>
            </w:r>
            <w:r>
              <w:rPr>
                <w:rFonts w:ascii="宋体" w:hAnsi="宋体" w:cs="宋体"/>
                <w:sz w:val="21"/>
              </w:rPr>
              <w:t>特色</w:t>
            </w:r>
            <w:r>
              <w:rPr>
                <w:rFonts w:hint="eastAsia" w:ascii="宋体" w:hAnsi="宋体" w:cs="宋体"/>
                <w:sz w:val="21"/>
              </w:rPr>
              <w:t>与</w:t>
            </w:r>
            <w:r>
              <w:rPr>
                <w:rFonts w:ascii="宋体" w:hAnsi="宋体" w:cs="宋体"/>
                <w:sz w:val="21"/>
              </w:rPr>
              <w:t>优势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spacing w:line="5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全方皆来源药食同源药物，安全性有所保证。纳豆激酶具有体内溶栓活性，与本</w:t>
            </w:r>
            <w:r>
              <w:rPr>
                <w:rFonts w:ascii="宋体" w:hAnsi="宋体" w:cs="宋体"/>
              </w:rPr>
              <w:t>产品</w:t>
            </w:r>
            <w:r>
              <w:rPr>
                <w:rFonts w:hint="eastAsia" w:ascii="宋体" w:hAnsi="宋体" w:cs="宋体"/>
              </w:rPr>
              <w:t>中药组合后，相得益彰，起到协同作用，</w:t>
            </w:r>
            <w:r>
              <w:rPr>
                <w:rFonts w:hint="eastAsia"/>
                <w:b/>
                <w:sz w:val="22"/>
              </w:rPr>
              <w:t>填补了市场空白。</w:t>
            </w:r>
            <w:r>
              <w:rPr>
                <w:rFonts w:hint="eastAsia"/>
                <w:sz w:val="22"/>
              </w:rPr>
              <w:t>本产品</w:t>
            </w:r>
            <w:r>
              <w:rPr>
                <w:rFonts w:hint="eastAsia" w:ascii="宋体" w:hAnsi="宋体" w:cs="宋体"/>
              </w:rPr>
              <w:t>配伍合理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hint="eastAsia"/>
                <w:sz w:val="22"/>
              </w:rPr>
              <w:t>副作用小、性价比高。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b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before="100" w:beforeAutospacing="1" w:after="100" w:afterAutospacing="1"/>
              <w:jc w:val="center"/>
              <w:rPr>
                <w:rFonts w:ascii="宋体" w:hAnsi="宋体" w:cs="宋体"/>
                <w:sz w:val="21"/>
                <w:highlight w:val="green"/>
              </w:rPr>
            </w:pPr>
            <w:r>
              <w:rPr>
                <w:rFonts w:hint="eastAsia" w:ascii="宋体" w:hAnsi="宋体" w:cs="宋体"/>
                <w:sz w:val="21"/>
              </w:rPr>
              <w:t>主要</w:t>
            </w:r>
            <w:r>
              <w:rPr>
                <w:rFonts w:ascii="宋体" w:hAnsi="宋体" w:cs="宋体"/>
                <w:sz w:val="21"/>
              </w:rPr>
              <w:t>功能与服用</w:t>
            </w:r>
            <w:r>
              <w:rPr>
                <w:rFonts w:hint="eastAsia" w:ascii="宋体" w:hAnsi="宋体" w:cs="宋体"/>
                <w:sz w:val="21"/>
              </w:rPr>
              <w:t>方法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pStyle w:val="5"/>
              <w:spacing w:before="156" w:beforeLines="50" w:beforeAutospacing="0" w:after="156" w:afterLines="5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2"/>
                <w:szCs w:val="22"/>
              </w:rPr>
              <w:t>功效：适用于肝肾阴虚型的老年颈动脉粥样硬化形成的血管斑块。</w:t>
            </w:r>
          </w:p>
          <w:p>
            <w:pPr>
              <w:pStyle w:val="5"/>
              <w:spacing w:before="156" w:beforeLines="50" w:beforeAutospacing="0" w:after="156" w:afterLines="5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2"/>
                <w:szCs w:val="22"/>
              </w:rPr>
              <w:t>服用方法：口服，一日2次，每次3-4粒。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b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before="100" w:beforeAutospacing="1" w:after="100" w:afterAutospacing="1"/>
              <w:jc w:val="center"/>
              <w:rPr>
                <w:rFonts w:ascii="宋体" w:hAnsi="宋体" w:cs="宋体"/>
                <w:sz w:val="21"/>
                <w:highlight w:val="green"/>
              </w:rPr>
            </w:pPr>
            <w:r>
              <w:rPr>
                <w:rFonts w:hint="eastAsia" w:ascii="宋体" w:hAnsi="宋体" w:cs="宋体"/>
                <w:sz w:val="21"/>
              </w:rPr>
              <w:t>产品</w:t>
            </w:r>
            <w:r>
              <w:rPr>
                <w:rFonts w:ascii="宋体" w:hAnsi="宋体" w:cs="宋体"/>
                <w:sz w:val="21"/>
              </w:rPr>
              <w:t>包装</w:t>
            </w:r>
            <w:r>
              <w:rPr>
                <w:rFonts w:hint="eastAsia" w:ascii="宋体" w:hAnsi="宋体" w:cs="宋体"/>
                <w:sz w:val="21"/>
              </w:rPr>
              <w:t>规格（含</w:t>
            </w:r>
            <w:r>
              <w:rPr>
                <w:rFonts w:ascii="宋体" w:hAnsi="宋体" w:cs="宋体"/>
                <w:sz w:val="21"/>
              </w:rPr>
              <w:t>成本</w:t>
            </w:r>
            <w:r>
              <w:rPr>
                <w:rFonts w:hint="eastAsia" w:ascii="宋体" w:hAnsi="宋体" w:cs="宋体"/>
                <w:sz w:val="21"/>
              </w:rPr>
              <w:t>）</w:t>
            </w:r>
            <w:r>
              <w:rPr>
                <w:rFonts w:ascii="宋体" w:hAnsi="宋体" w:cs="宋体"/>
                <w:sz w:val="21"/>
              </w:rPr>
              <w:t>、价格及图片</w:t>
            </w:r>
            <w:r>
              <w:rPr>
                <w:rFonts w:hint="eastAsia" w:ascii="宋体" w:hAnsi="宋体" w:cs="宋体"/>
                <w:sz w:val="21"/>
              </w:rPr>
              <w:t>设计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pStyle w:val="5"/>
              <w:spacing w:before="156" w:beforeLines="50" w:beforeAutospacing="0" w:after="156" w:afterLines="5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2"/>
                <w:szCs w:val="22"/>
              </w:rPr>
              <w:t>包装规格：50粒/瓶，每粒0.</w:t>
            </w:r>
            <w:r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2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2"/>
                <w:szCs w:val="22"/>
              </w:rPr>
              <w:t>5g。</w:t>
            </w:r>
          </w:p>
          <w:p>
            <w:pPr>
              <w:pStyle w:val="5"/>
              <w:spacing w:before="156" w:beforeLines="50" w:beforeAutospacing="0" w:after="156" w:afterLines="5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2"/>
                <w:szCs w:val="22"/>
              </w:rPr>
              <w:t>建议价格：每瓶1</w:t>
            </w:r>
            <w:r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2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2"/>
                <w:szCs w:val="22"/>
              </w:rPr>
              <w:t>0元。</w:t>
            </w:r>
          </w:p>
          <w:p>
            <w:pPr>
              <w:pStyle w:val="5"/>
              <w:spacing w:before="156" w:beforeLines="50" w:beforeAutospacing="0" w:after="156" w:afterLines="5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2"/>
                <w:szCs w:val="22"/>
              </w:rPr>
              <w:t>包装设计：</w:t>
            </w:r>
          </w:p>
          <w:p>
            <w:pPr>
              <w:pStyle w:val="5"/>
              <w:spacing w:before="156" w:beforeLines="50" w:beforeAutospacing="0" w:after="156" w:afterLines="5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2"/>
              </w:rPr>
            </w:pPr>
            <w:r>
              <w:drawing>
                <wp:inline distT="0" distB="0" distL="114300" distR="114300">
                  <wp:extent cx="708660" cy="1354455"/>
                  <wp:effectExtent l="0" t="0" r="254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b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before="100" w:beforeAutospacing="1" w:after="100" w:afterAutospacing="1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项目进展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pStyle w:val="5"/>
              <w:spacing w:before="156" w:beforeLines="50" w:beforeAutospacing="0" w:after="156" w:afterLines="50" w:afterAutospacing="0" w:line="276" w:lineRule="auto"/>
              <w:jc w:val="both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2"/>
                <w:szCs w:val="22"/>
              </w:rPr>
              <w:t>预计2023年</w:t>
            </w:r>
            <w:r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2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2"/>
                <w:szCs w:val="22"/>
              </w:rPr>
              <w:t>月上市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distribute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</w:rPr>
              <w:t>应用前景</w:t>
            </w:r>
          </w:p>
        </w:tc>
        <w:tc>
          <w:tcPr>
            <w:tcW w:w="795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440" w:firstLineChars="200"/>
              <w:rPr>
                <w:sz w:val="22"/>
              </w:rPr>
            </w:pPr>
            <w:r>
              <w:rPr>
                <w:rFonts w:hint="eastAsia"/>
                <w:sz w:val="22"/>
              </w:rPr>
              <w:t>老年颈动脉粥样硬化（CAD）的患病率有逐渐上升的趋势，且人们对该病的关注度及重视度也越来越高。中医证型将老年颈动脉粥样硬化CAD分为痰浊阻滞、痰瘀互结、脾肾阳虚、肝肾阴虚四种。研究认为肝肾阴虚型低回声斑的弹性成像评分显著低于痰瘀互结型( P&lt;0.01) ，弹性成像评分越低，斑块相对越软，越不稳定，易发生脱落，引起脑卒中。目前针对老年颈动脉粥样硬化形成的颈动脉斑块的治疗，主要是药物治疗和手术治疗，药物治疗主要有溶血栓药</w:t>
            </w:r>
            <w:r>
              <w:rPr>
                <w:sz w:val="22"/>
              </w:rPr>
              <w:t>瑞替普酶</w:t>
            </w:r>
            <w:r>
              <w:rPr>
                <w:rFonts w:hint="eastAsia"/>
                <w:sz w:val="22"/>
              </w:rPr>
              <w:t>和他汀类降脂药，并无直接消除斑块的作用，且具有很多副作用，存在一定的缺陷。</w:t>
            </w:r>
          </w:p>
          <w:p>
            <w:pPr>
              <w:spacing w:line="520" w:lineRule="exact"/>
              <w:ind w:firstLine="440" w:firstLineChars="200"/>
              <w:rPr>
                <w:sz w:val="22"/>
              </w:rPr>
            </w:pPr>
            <w:r>
              <w:rPr>
                <w:rFonts w:hint="eastAsia"/>
                <w:sz w:val="22"/>
              </w:rPr>
              <w:t>纳豆激酶(NattoKinase，NK)是由Bacillus subtilis（natto）分泌的一种碱性丝氨酸蛋白酶，具有半衰期长、特异性强、副作用小、可直接口服等优点。纳豆激酶由食品纳豆中提取或纳豆菌生产，是一种分子量远远小于</w:t>
            </w:r>
            <w:r>
              <w:rPr>
                <w:sz w:val="22"/>
              </w:rPr>
              <w:t>尿激酶（UK）、链激酶（SK）、 组织型纤溶酶原激活剂(tPA)</w:t>
            </w:r>
            <w:r>
              <w:rPr>
                <w:rFonts w:hint="eastAsia"/>
                <w:sz w:val="22"/>
              </w:rPr>
              <w:t xml:space="preserve"> 的蛋白质，并可由肠道吸收，纳豆激酶的体内溶栓活性为纤溶酶的四倍，作用迅速、持续时间长，还能激活体内的tPA，使之温和、持续地提高血液的纤溶活性。</w:t>
            </w:r>
          </w:p>
          <w:p>
            <w:pPr>
              <w:spacing w:line="520" w:lineRule="exact"/>
              <w:ind w:firstLine="440" w:firstLineChars="200"/>
              <w:rPr>
                <w:sz w:val="22"/>
              </w:rPr>
            </w:pPr>
            <w:r>
              <w:rPr>
                <w:rFonts w:hint="eastAsia"/>
                <w:sz w:val="22"/>
              </w:rPr>
              <w:t>因此，本产品创新性的将中药与纳豆激酶配伍，在促进颈动脉斑块的消融方面效果显著，特别适用于肝肾阴虚型的老年颈动脉粥样硬化形成的斑块。相较于他汀类药物，具有疗效可靠、副作用小、性价比高等优势，可产生显著的社会经济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80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</w:rPr>
              <w:t>转让或合作</w:t>
            </w:r>
          </w:p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</w:rPr>
              <w:t>方式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建议合作方式</w:t>
            </w:r>
          </w:p>
        </w:tc>
        <w:tc>
          <w:tcPr>
            <w:tcW w:w="6031" w:type="dxa"/>
            <w:gridSpan w:val="4"/>
            <w:vAlign w:val="center"/>
          </w:tcPr>
          <w:p>
            <w:pPr>
              <w:spacing w:line="520" w:lineRule="exact"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/>
                <w:sz w:val="22"/>
              </w:rPr>
              <w:t xml:space="preserve">合作开发 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一次性</w:t>
            </w:r>
            <w:r>
              <w:rPr>
                <w:sz w:val="22"/>
              </w:rPr>
              <w:t>转让</w:t>
            </w:r>
            <w:r>
              <w:rPr>
                <w:rFonts w:hint="eastAsia"/>
                <w:sz w:val="22"/>
              </w:rPr>
              <w:sym w:font="Wingdings" w:char="00FE"/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其他</w:t>
            </w:r>
            <w:r>
              <w:rPr>
                <w:rFonts w:hint="eastAsia" w:ascii="宋体" w:hAnsi="宋体" w:cs="宋体"/>
              </w:rPr>
              <w:t xml:space="preserve">  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xZDgxMzI2ZDZkNWYxODY3NTRmMDZiOGVmNDk2MGUifQ=="/>
  </w:docVars>
  <w:rsids>
    <w:rsidRoot w:val="00D81150"/>
    <w:rsid w:val="00012C44"/>
    <w:rsid w:val="000266E0"/>
    <w:rsid w:val="000454AB"/>
    <w:rsid w:val="0005350E"/>
    <w:rsid w:val="00065B30"/>
    <w:rsid w:val="00065E37"/>
    <w:rsid w:val="00094857"/>
    <w:rsid w:val="000B3405"/>
    <w:rsid w:val="0010224B"/>
    <w:rsid w:val="001107C8"/>
    <w:rsid w:val="00142EB5"/>
    <w:rsid w:val="001718EC"/>
    <w:rsid w:val="00183C90"/>
    <w:rsid w:val="001932CD"/>
    <w:rsid w:val="001D1784"/>
    <w:rsid w:val="00213450"/>
    <w:rsid w:val="00221423"/>
    <w:rsid w:val="00223EE2"/>
    <w:rsid w:val="00240DA5"/>
    <w:rsid w:val="0027478D"/>
    <w:rsid w:val="002B2883"/>
    <w:rsid w:val="0030433C"/>
    <w:rsid w:val="0034122E"/>
    <w:rsid w:val="003455DA"/>
    <w:rsid w:val="00356204"/>
    <w:rsid w:val="00374347"/>
    <w:rsid w:val="003A336C"/>
    <w:rsid w:val="003B407D"/>
    <w:rsid w:val="003F721F"/>
    <w:rsid w:val="004549D9"/>
    <w:rsid w:val="004700F0"/>
    <w:rsid w:val="00472A72"/>
    <w:rsid w:val="00490C1B"/>
    <w:rsid w:val="004D4653"/>
    <w:rsid w:val="004F6089"/>
    <w:rsid w:val="00545705"/>
    <w:rsid w:val="00545DE5"/>
    <w:rsid w:val="005D5563"/>
    <w:rsid w:val="005E3B7C"/>
    <w:rsid w:val="005F6483"/>
    <w:rsid w:val="00601C35"/>
    <w:rsid w:val="00624ACD"/>
    <w:rsid w:val="006475FD"/>
    <w:rsid w:val="00662B76"/>
    <w:rsid w:val="00662D37"/>
    <w:rsid w:val="00663E05"/>
    <w:rsid w:val="0067576C"/>
    <w:rsid w:val="00690EC0"/>
    <w:rsid w:val="00696971"/>
    <w:rsid w:val="00705784"/>
    <w:rsid w:val="00732040"/>
    <w:rsid w:val="0076589C"/>
    <w:rsid w:val="0077648E"/>
    <w:rsid w:val="007801D2"/>
    <w:rsid w:val="00783767"/>
    <w:rsid w:val="0078654D"/>
    <w:rsid w:val="007B1956"/>
    <w:rsid w:val="007E19D2"/>
    <w:rsid w:val="007E2D52"/>
    <w:rsid w:val="0084292A"/>
    <w:rsid w:val="0084760F"/>
    <w:rsid w:val="008604A3"/>
    <w:rsid w:val="008732EC"/>
    <w:rsid w:val="008C5FF8"/>
    <w:rsid w:val="008D1CC1"/>
    <w:rsid w:val="00912B43"/>
    <w:rsid w:val="009314F3"/>
    <w:rsid w:val="009472C7"/>
    <w:rsid w:val="009474A8"/>
    <w:rsid w:val="00971497"/>
    <w:rsid w:val="0097691E"/>
    <w:rsid w:val="009A5084"/>
    <w:rsid w:val="009B251C"/>
    <w:rsid w:val="009C405B"/>
    <w:rsid w:val="009D4BC3"/>
    <w:rsid w:val="009E1A97"/>
    <w:rsid w:val="009F451D"/>
    <w:rsid w:val="009F47B7"/>
    <w:rsid w:val="00A03C6C"/>
    <w:rsid w:val="00A1597C"/>
    <w:rsid w:val="00A54FE1"/>
    <w:rsid w:val="00A762F7"/>
    <w:rsid w:val="00AB7498"/>
    <w:rsid w:val="00AE40DB"/>
    <w:rsid w:val="00B155B4"/>
    <w:rsid w:val="00B64C2E"/>
    <w:rsid w:val="00B81AB2"/>
    <w:rsid w:val="00B83D42"/>
    <w:rsid w:val="00B913EA"/>
    <w:rsid w:val="00B97A4A"/>
    <w:rsid w:val="00BE6F93"/>
    <w:rsid w:val="00C032A0"/>
    <w:rsid w:val="00C5119D"/>
    <w:rsid w:val="00C7224C"/>
    <w:rsid w:val="00C92781"/>
    <w:rsid w:val="00CB26DB"/>
    <w:rsid w:val="00CC05D1"/>
    <w:rsid w:val="00CC5614"/>
    <w:rsid w:val="00CD32B4"/>
    <w:rsid w:val="00CD4350"/>
    <w:rsid w:val="00CE081C"/>
    <w:rsid w:val="00CE2569"/>
    <w:rsid w:val="00D16B1B"/>
    <w:rsid w:val="00D24B4A"/>
    <w:rsid w:val="00D42B43"/>
    <w:rsid w:val="00D62CEA"/>
    <w:rsid w:val="00D81150"/>
    <w:rsid w:val="00DB0971"/>
    <w:rsid w:val="00DB3087"/>
    <w:rsid w:val="00DD403F"/>
    <w:rsid w:val="00DF35B1"/>
    <w:rsid w:val="00E20210"/>
    <w:rsid w:val="00E42F31"/>
    <w:rsid w:val="00E50C2F"/>
    <w:rsid w:val="00E70218"/>
    <w:rsid w:val="00EA39A6"/>
    <w:rsid w:val="00ED7370"/>
    <w:rsid w:val="00F01040"/>
    <w:rsid w:val="00F06318"/>
    <w:rsid w:val="00F400C8"/>
    <w:rsid w:val="00F770EE"/>
    <w:rsid w:val="00F84AC2"/>
    <w:rsid w:val="00F84C5B"/>
    <w:rsid w:val="00F95049"/>
    <w:rsid w:val="00FA0050"/>
    <w:rsid w:val="00FA07E2"/>
    <w:rsid w:val="00FB0E73"/>
    <w:rsid w:val="00FD63F1"/>
    <w:rsid w:val="00FF0534"/>
    <w:rsid w:val="00FF7F0A"/>
    <w:rsid w:val="135F0966"/>
    <w:rsid w:val="19D8374C"/>
    <w:rsid w:val="1F54245C"/>
    <w:rsid w:val="33C148CD"/>
    <w:rsid w:val="35FE75C2"/>
    <w:rsid w:val="464608BD"/>
    <w:rsid w:val="4E592F55"/>
    <w:rsid w:val="6EDF2E44"/>
    <w:rsid w:val="7CEF7382"/>
    <w:rsid w:val="7DB6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spacing w:line="360" w:lineRule="auto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正文文本 字符"/>
    <w:basedOn w:val="7"/>
    <w:link w:val="2"/>
    <w:qFormat/>
    <w:uiPriority w:val="99"/>
    <w:rPr>
      <w:rFonts w:ascii="Times New Roman" w:hAnsi="Times New Roman" w:eastAsia="宋体" w:cs="Times New Roman"/>
      <w:sz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235</Words>
  <Characters>1343</Characters>
  <Lines>11</Lines>
  <Paragraphs>3</Paragraphs>
  <TotalTime>5</TotalTime>
  <ScaleCrop>false</ScaleCrop>
  <LinksUpToDate>false</LinksUpToDate>
  <CharactersWithSpaces>1575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2022-12-01T02:53:00Z</dcterms:created>
  <dc:creator>Microsoft Office User</dc:creator>
  <cp:lastModifiedBy>a-live</cp:lastModifiedBy>
  <dcterms:modified xsi:type="dcterms:W3CDTF">2023-11-21T06:58:15Z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6BA46A30D7A14074A3C511648F6FC89A_13</vt:lpwstr>
  </property>
</Properties>
</file>